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3" w:rsidRPr="00D87F5A" w:rsidRDefault="00161123">
      <w:pPr>
        <w:pStyle w:val="a7"/>
        <w:rPr>
          <w:color w:val="FF6600"/>
        </w:rPr>
      </w:pPr>
    </w:p>
    <w:p w:rsidR="00161123" w:rsidRPr="00D87F5A" w:rsidRDefault="00910C26">
      <w:pPr>
        <w:pStyle w:val="a7"/>
        <w:rPr>
          <w:color w:val="FF6600"/>
        </w:rPr>
      </w:pPr>
      <w:r>
        <w:rPr>
          <w:noProof/>
        </w:rPr>
        <mc:AlternateContent>
          <mc:Choice Requires="wps">
            <w:drawing>
              <wp:anchor distT="0" distB="0" distL="114300" distR="114300" simplePos="0" relativeHeight="251651072" behindDoc="0" locked="0" layoutInCell="1" allowOverlap="1" wp14:anchorId="5DFDBDD0" wp14:editId="6A67B059">
                <wp:simplePos x="0" y="0"/>
                <wp:positionH relativeFrom="column">
                  <wp:posOffset>2058035</wp:posOffset>
                </wp:positionH>
                <wp:positionV relativeFrom="paragraph">
                  <wp:posOffset>161925</wp:posOffset>
                </wp:positionV>
                <wp:extent cx="2009140" cy="373380"/>
                <wp:effectExtent l="10160" t="9525" r="9525" b="762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545670" w:rsidRPr="00DA75FC" w:rsidRDefault="00545670"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3xPQ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onLN8T0CAABVBAAADgAA&#10;AAAAAAAAAAAAAAAuAgAAZHJzL2Uyb0RvYy54bWxQSwECLQAUAAYACAAAACEA0eA1Vd8AAAAJAQAA&#10;DwAAAAAAAAAAAAAAAACXBAAAZHJzL2Rvd25yZXYueG1sUEsFBgAAAAAEAAQA8wAAAKMFAAAAAA==&#10;">
                <v:textbox>
                  <w:txbxContent>
                    <w:p w:rsidR="00386F23" w:rsidRPr="00DA75FC" w:rsidRDefault="00386F23"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noProof/>
          <w:color w:val="FF6600"/>
        </w:rPr>
        <w:drawing>
          <wp:inline distT="0" distB="0" distL="0" distR="0" wp14:anchorId="26E533BB" wp14:editId="41FE47E7">
            <wp:extent cx="6119495" cy="711200"/>
            <wp:effectExtent l="0" t="0" r="0" b="0"/>
            <wp:docPr id="2" name="圖片 2"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711200"/>
                    </a:xfrm>
                    <a:prstGeom prst="rect">
                      <a:avLst/>
                    </a:prstGeom>
                    <a:noFill/>
                    <a:ln>
                      <a:noFill/>
                    </a:ln>
                  </pic:spPr>
                </pic:pic>
              </a:graphicData>
            </a:graphic>
          </wp:inline>
        </w:drawing>
      </w:r>
    </w:p>
    <w:p w:rsidR="00161123" w:rsidRPr="00D87F5A" w:rsidRDefault="00161123">
      <w:pPr>
        <w:rPr>
          <w:b/>
          <w:bCs/>
          <w:color w:val="0000FF"/>
          <w:szCs w:val="20"/>
        </w:rPr>
      </w:pPr>
      <w:r w:rsidRPr="00D87F5A">
        <w:rPr>
          <w:b/>
          <w:bCs/>
          <w:color w:val="0000FF"/>
          <w:szCs w:val="20"/>
        </w:rPr>
        <w:t>以下資料由</w:t>
      </w:r>
      <w:r w:rsidR="007E51A2" w:rsidRPr="00D87F5A">
        <w:rPr>
          <w:b/>
          <w:bCs/>
          <w:color w:val="0000FF"/>
          <w:szCs w:val="20"/>
          <w:highlight w:val="yellow"/>
        </w:rPr>
        <w:t>台康生技</w:t>
      </w:r>
      <w:r w:rsidR="00D87F5A" w:rsidRPr="00D87F5A">
        <w:rPr>
          <w:b/>
          <w:bCs/>
          <w:color w:val="0000FF"/>
          <w:szCs w:val="20"/>
          <w:highlight w:val="yellow"/>
        </w:rPr>
        <w:t>股份有限</w:t>
      </w:r>
      <w:r w:rsidRPr="00D87F5A">
        <w:rPr>
          <w:b/>
          <w:bCs/>
          <w:color w:val="0000FF"/>
          <w:szCs w:val="20"/>
          <w:highlight w:val="yellow"/>
        </w:rPr>
        <w:t>公司</w:t>
      </w:r>
      <w:r w:rsidR="00BF2B97" w:rsidRPr="00D87F5A">
        <w:rPr>
          <w:b/>
          <w:bCs/>
          <w:color w:val="FF0000"/>
          <w:szCs w:val="20"/>
          <w:u w:val="single"/>
          <w:shd w:val="pct15" w:color="auto" w:fill="FFFFFF"/>
        </w:rPr>
        <w:t>及其推薦證券商</w:t>
      </w:r>
      <w:r w:rsidR="00A277D2" w:rsidRPr="00D87F5A">
        <w:rPr>
          <w:b/>
          <w:bCs/>
          <w:color w:val="0000FF"/>
          <w:szCs w:val="20"/>
        </w:rPr>
        <w:t>提供</w:t>
      </w:r>
      <w:r w:rsidRPr="00D87F5A">
        <w:rPr>
          <w:b/>
          <w:bCs/>
          <w:color w:val="0000FF"/>
          <w:szCs w:val="20"/>
        </w:rPr>
        <w:t>，資料若有錯誤、遺漏或虛偽不實，</w:t>
      </w:r>
      <w:proofErr w:type="gramStart"/>
      <w:r w:rsidRPr="00D87F5A">
        <w:rPr>
          <w:b/>
          <w:bCs/>
          <w:color w:val="0000FF"/>
          <w:szCs w:val="20"/>
        </w:rPr>
        <w:t>均由該</w:t>
      </w:r>
      <w:proofErr w:type="gramEnd"/>
      <w:r w:rsidRPr="00D87F5A">
        <w:rPr>
          <w:b/>
          <w:bCs/>
          <w:color w:val="0000FF"/>
          <w:szCs w:val="20"/>
        </w:rPr>
        <w:t>公司</w:t>
      </w:r>
      <w:r w:rsidR="00BF2B97" w:rsidRPr="00D87F5A">
        <w:rPr>
          <w:b/>
          <w:bCs/>
          <w:color w:val="FF0000"/>
          <w:szCs w:val="20"/>
          <w:u w:val="single"/>
          <w:shd w:val="pct15" w:color="auto" w:fill="FFFFFF"/>
        </w:rPr>
        <w:t>及其推薦證券商</w:t>
      </w:r>
      <w:r w:rsidRPr="00D87F5A">
        <w:rPr>
          <w:b/>
          <w:bCs/>
          <w:color w:val="0000FF"/>
          <w:szCs w:val="20"/>
        </w:rPr>
        <w:t>負責。</w:t>
      </w:r>
    </w:p>
    <w:p w:rsidR="00F97EB6" w:rsidRPr="00D87F5A" w:rsidRDefault="00F97EB6">
      <w:pPr>
        <w:rPr>
          <w:b/>
          <w:bCs/>
          <w:color w:val="FF0000"/>
          <w:szCs w:val="20"/>
          <w:u w:val="single"/>
          <w:shd w:val="pct15" w:color="auto" w:fill="FFFFFF"/>
        </w:rPr>
      </w:pPr>
      <w:r w:rsidRPr="00D87F5A">
        <w:rPr>
          <w:b/>
          <w:bCs/>
          <w:color w:val="FF0000"/>
          <w:szCs w:val="20"/>
          <w:u w:val="single"/>
          <w:shd w:val="pct15" w:color="auto" w:fill="FFFFFF"/>
        </w:rPr>
        <w:t>以下揭露之認購價格及依據等資訊，係申請</w:t>
      </w:r>
      <w:proofErr w:type="gramStart"/>
      <w:r w:rsidRPr="00D87F5A">
        <w:rPr>
          <w:b/>
          <w:bCs/>
          <w:color w:val="FF0000"/>
          <w:szCs w:val="20"/>
          <w:u w:val="single"/>
          <w:shd w:val="pct15" w:color="auto" w:fill="FFFFFF"/>
        </w:rPr>
        <w:t>登錄興櫃公司</w:t>
      </w:r>
      <w:proofErr w:type="gramEnd"/>
      <w:r w:rsidRPr="00D87F5A">
        <w:rPr>
          <w:b/>
          <w:bCs/>
          <w:color w:val="FF0000"/>
          <w:szCs w:val="20"/>
          <w:u w:val="single"/>
          <w:shd w:val="pct15" w:color="auto" w:fill="FFFFFF"/>
        </w:rPr>
        <w:t>與其推薦證券商依認購當時綜合考量各種因素後所議定。由於興櫃公司財務業務狀況及資本市場將隨時空而變動，投資人切勿以上開資訊作為投資判斷之唯一依據，務請特別</w:t>
      </w:r>
      <w:r w:rsidR="00A277D2" w:rsidRPr="00D87F5A">
        <w:rPr>
          <w:b/>
          <w:bCs/>
          <w:color w:val="FF0000"/>
          <w:szCs w:val="20"/>
          <w:u w:val="single"/>
          <w:shd w:val="pct15" w:color="auto" w:fill="FFFFFF"/>
        </w:rPr>
        <w:t>注</w:t>
      </w:r>
      <w:r w:rsidRPr="00D87F5A">
        <w:rPr>
          <w:b/>
          <w:bCs/>
          <w:color w:val="FF0000"/>
          <w:szCs w:val="20"/>
          <w:u w:val="single"/>
          <w:shd w:val="pct15" w:color="auto" w:fill="FFFFFF"/>
        </w:rPr>
        <w:t>意</w:t>
      </w:r>
    </w:p>
    <w:p w:rsidR="00161123" w:rsidRPr="00D87F5A" w:rsidRDefault="00910C26">
      <w:pPr>
        <w:tabs>
          <w:tab w:val="left" w:pos="1125"/>
        </w:tabs>
        <w:rPr>
          <w:b/>
          <w:bCs/>
          <w:color w:val="FF6600"/>
          <w:sz w:val="20"/>
          <w:szCs w:val="20"/>
        </w:rPr>
      </w:pPr>
      <w:r>
        <w:rPr>
          <w:b/>
          <w:bCs/>
          <w:noProof/>
          <w:color w:val="FF6600"/>
        </w:rPr>
        <mc:AlternateContent>
          <mc:Choice Requires="wps">
            <w:drawing>
              <wp:anchor distT="0" distB="0" distL="114300" distR="114300" simplePos="0" relativeHeight="251652096" behindDoc="1" locked="0" layoutInCell="1" allowOverlap="1" wp14:anchorId="531940E2" wp14:editId="0ADB0163">
                <wp:simplePos x="0" y="0"/>
                <wp:positionH relativeFrom="column">
                  <wp:posOffset>0</wp:posOffset>
                </wp:positionH>
                <wp:positionV relativeFrom="paragraph">
                  <wp:posOffset>175895</wp:posOffset>
                </wp:positionV>
                <wp:extent cx="6105525" cy="1238250"/>
                <wp:effectExtent l="0" t="4445" r="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670" w:rsidRDefault="00545670">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" fillcolor="#fffbed" stroked="f">
                <v:textbox>
                  <w:txbxContent>
                    <w:p w:rsidR="00386F23" w:rsidRDefault="00386F23">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D87F5A" w:rsidRDefault="00910C26">
      <w:pPr>
        <w:rPr>
          <w:b/>
          <w:bCs/>
          <w:color w:val="FF0000"/>
          <w:sz w:val="20"/>
          <w:szCs w:val="20"/>
          <w:shd w:val="pct15" w:color="auto" w:fill="FFFFFF"/>
        </w:rPr>
      </w:pPr>
      <w:bookmarkStart w:id="0" w:name="第一頁"/>
      <w:bookmarkEnd w:id="0"/>
      <w:r>
        <w:rPr>
          <w:noProof/>
          <w:color w:val="FF6600"/>
        </w:rPr>
        <w:drawing>
          <wp:anchor distT="0" distB="0" distL="114300" distR="114300" simplePos="0" relativeHeight="251655168" behindDoc="1" locked="0" layoutInCell="1" allowOverlap="1" wp14:anchorId="0ED0D9EE" wp14:editId="7D454451">
            <wp:simplePos x="0" y="0"/>
            <wp:positionH relativeFrom="column">
              <wp:posOffset>0</wp:posOffset>
            </wp:positionH>
            <wp:positionV relativeFrom="paragraph">
              <wp:posOffset>45085</wp:posOffset>
            </wp:positionV>
            <wp:extent cx="152400" cy="146050"/>
            <wp:effectExtent l="0" t="0" r="0" b="635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FF6600"/>
          <w:sz w:val="20"/>
          <w:szCs w:val="20"/>
        </w:rPr>
        <w:drawing>
          <wp:anchor distT="0" distB="0" distL="114300" distR="114300" simplePos="0" relativeHeight="251656192" behindDoc="1" locked="0" layoutInCell="1" allowOverlap="1" wp14:anchorId="655AD4DB" wp14:editId="68A4B1F1">
            <wp:simplePos x="0" y="0"/>
            <wp:positionH relativeFrom="column">
              <wp:posOffset>0</wp:posOffset>
            </wp:positionH>
            <wp:positionV relativeFrom="paragraph">
              <wp:posOffset>45085</wp:posOffset>
            </wp:positionV>
            <wp:extent cx="152400" cy="146050"/>
            <wp:effectExtent l="0" t="0" r="0" b="635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D87F5A">
        <w:rPr>
          <w:b/>
          <w:bCs/>
          <w:color w:val="FF6600"/>
          <w:sz w:val="20"/>
          <w:szCs w:val="20"/>
        </w:rPr>
        <w:t xml:space="preserve">   </w:t>
      </w:r>
      <w:r w:rsidR="00BF2B97" w:rsidRPr="00D87F5A">
        <w:rPr>
          <w:b/>
          <w:bCs/>
          <w:color w:val="FF0000"/>
          <w:sz w:val="20"/>
          <w:szCs w:val="20"/>
          <w:u w:val="single"/>
          <w:shd w:val="pct15" w:color="auto" w:fill="FFFFFF"/>
        </w:rPr>
        <w:t>認購相關資訊</w:t>
      </w:r>
    </w:p>
    <w:p w:rsidR="00BF2B97" w:rsidRPr="00D87F5A" w:rsidRDefault="00910C26">
      <w:pPr>
        <w:rPr>
          <w:b/>
          <w:bCs/>
          <w:color w:val="FF6600"/>
          <w:sz w:val="20"/>
          <w:szCs w:val="20"/>
        </w:rPr>
      </w:pPr>
      <w:r>
        <w:rPr>
          <w:b/>
          <w:bCs/>
          <w:noProof/>
          <w:color w:val="FF6600"/>
          <w:sz w:val="20"/>
          <w:szCs w:val="20"/>
        </w:rPr>
        <w:drawing>
          <wp:anchor distT="0" distB="0" distL="114300" distR="114300" simplePos="0" relativeHeight="251657216" behindDoc="1" locked="0" layoutInCell="1" allowOverlap="1" wp14:anchorId="114B6955" wp14:editId="1514A23F">
            <wp:simplePos x="0" y="0"/>
            <wp:positionH relativeFrom="column">
              <wp:posOffset>0</wp:posOffset>
            </wp:positionH>
            <wp:positionV relativeFrom="paragraph">
              <wp:posOffset>45085</wp:posOffset>
            </wp:positionV>
            <wp:extent cx="152400" cy="146050"/>
            <wp:effectExtent l="0" t="0" r="0" b="635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D87F5A">
        <w:rPr>
          <w:b/>
          <w:bCs/>
          <w:color w:val="FF6600"/>
          <w:sz w:val="20"/>
          <w:szCs w:val="20"/>
        </w:rPr>
        <w:t xml:space="preserve">   </w:t>
      </w:r>
      <w:hyperlink w:anchor="公司簡介" w:history="1">
        <w:r w:rsidR="00BF2B97" w:rsidRPr="00D87F5A">
          <w:rPr>
            <w:rStyle w:val="a6"/>
            <w:b/>
            <w:bCs/>
            <w:color w:val="FF6600"/>
            <w:sz w:val="20"/>
            <w:szCs w:val="20"/>
          </w:rPr>
          <w:t>公司簡介</w:t>
        </w:r>
      </w:hyperlink>
    </w:p>
    <w:p w:rsidR="00161123" w:rsidRPr="00D87F5A" w:rsidRDefault="00910C26">
      <w:pPr>
        <w:rPr>
          <w:b/>
          <w:bCs/>
          <w:color w:val="FF6600"/>
          <w:sz w:val="20"/>
          <w:szCs w:val="20"/>
        </w:rPr>
      </w:pPr>
      <w:r>
        <w:rPr>
          <w:b/>
          <w:bCs/>
          <w:noProof/>
          <w:color w:val="FF6600"/>
          <w:sz w:val="20"/>
          <w:szCs w:val="20"/>
        </w:rPr>
        <w:drawing>
          <wp:anchor distT="0" distB="0" distL="114300" distR="114300" simplePos="0" relativeHeight="251664384" behindDoc="1" locked="0" layoutInCell="1" allowOverlap="1" wp14:anchorId="53A0FF7C" wp14:editId="62762584">
            <wp:simplePos x="0" y="0"/>
            <wp:positionH relativeFrom="column">
              <wp:posOffset>0</wp:posOffset>
            </wp:positionH>
            <wp:positionV relativeFrom="paragraph">
              <wp:posOffset>45085</wp:posOffset>
            </wp:positionV>
            <wp:extent cx="152400" cy="146050"/>
            <wp:effectExtent l="0" t="0" r="0" b="635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BF2B97" w:rsidRPr="00D87F5A">
        <w:rPr>
          <w:b/>
          <w:bCs/>
          <w:color w:val="FF6600"/>
          <w:sz w:val="20"/>
          <w:szCs w:val="20"/>
        </w:rPr>
        <w:t xml:space="preserve">   </w:t>
      </w:r>
      <w:hyperlink w:anchor="主要業務項目" w:history="1">
        <w:r w:rsidR="00161123" w:rsidRPr="00D87F5A">
          <w:rPr>
            <w:rStyle w:val="a6"/>
            <w:b/>
            <w:bCs/>
            <w:color w:val="FF6600"/>
            <w:sz w:val="20"/>
            <w:szCs w:val="20"/>
          </w:rPr>
          <w:t>主要業務項目</w:t>
        </w:r>
      </w:hyperlink>
    </w:p>
    <w:p w:rsidR="00161123" w:rsidRPr="00D87F5A" w:rsidRDefault="00910C26">
      <w:pPr>
        <w:rPr>
          <w:b/>
          <w:bCs/>
          <w:color w:val="FF6600"/>
          <w:sz w:val="20"/>
          <w:szCs w:val="20"/>
        </w:rPr>
      </w:pPr>
      <w:r>
        <w:rPr>
          <w:b/>
          <w:bCs/>
          <w:noProof/>
          <w:color w:val="FF6600"/>
          <w:sz w:val="20"/>
          <w:szCs w:val="20"/>
        </w:rPr>
        <w:drawing>
          <wp:anchor distT="0" distB="0" distL="114300" distR="114300" simplePos="0" relativeHeight="251658240" behindDoc="1" locked="0" layoutInCell="1" allowOverlap="1" wp14:anchorId="698A2140" wp14:editId="732A8E75">
            <wp:simplePos x="0" y="0"/>
            <wp:positionH relativeFrom="column">
              <wp:posOffset>0</wp:posOffset>
            </wp:positionH>
            <wp:positionV relativeFrom="paragraph">
              <wp:posOffset>45085</wp:posOffset>
            </wp:positionV>
            <wp:extent cx="152400" cy="146050"/>
            <wp:effectExtent l="0" t="0" r="0" b="635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D87F5A">
        <w:rPr>
          <w:b/>
          <w:bCs/>
          <w:color w:val="FF6600"/>
          <w:sz w:val="20"/>
          <w:szCs w:val="20"/>
        </w:rPr>
        <w:t xml:space="preserve">   </w:t>
      </w:r>
      <w:hyperlink w:anchor="最近五年度簡明損益表及申請年度截至最近月份止之自結損益表" w:history="1">
        <w:r w:rsidR="00161123" w:rsidRPr="00D87F5A">
          <w:rPr>
            <w:rStyle w:val="a6"/>
            <w:b/>
            <w:bCs/>
            <w:color w:val="FF6600"/>
            <w:sz w:val="20"/>
            <w:szCs w:val="20"/>
          </w:rPr>
          <w:t>最近五年度簡明損益表及申請年度截至最近月份止之自結損益表</w:t>
        </w:r>
      </w:hyperlink>
    </w:p>
    <w:p w:rsidR="00161123" w:rsidRPr="00D87F5A" w:rsidRDefault="00910C26">
      <w:pPr>
        <w:rPr>
          <w:b/>
          <w:bCs/>
          <w:color w:val="FF6600"/>
          <w:sz w:val="20"/>
          <w:szCs w:val="20"/>
        </w:rPr>
      </w:pPr>
      <w:r>
        <w:rPr>
          <w:b/>
          <w:bCs/>
          <w:noProof/>
          <w:color w:val="FF6600"/>
          <w:sz w:val="20"/>
          <w:szCs w:val="20"/>
        </w:rPr>
        <w:drawing>
          <wp:anchor distT="0" distB="0" distL="114300" distR="114300" simplePos="0" relativeHeight="251660288" behindDoc="1" locked="0" layoutInCell="1" allowOverlap="1" wp14:anchorId="42A80229" wp14:editId="4267A8B3">
            <wp:simplePos x="0" y="0"/>
            <wp:positionH relativeFrom="column">
              <wp:posOffset>0</wp:posOffset>
            </wp:positionH>
            <wp:positionV relativeFrom="paragraph">
              <wp:posOffset>42545</wp:posOffset>
            </wp:positionV>
            <wp:extent cx="152400" cy="146050"/>
            <wp:effectExtent l="0" t="0" r="0" b="635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D87F5A">
        <w:rPr>
          <w:b/>
          <w:bCs/>
          <w:color w:val="FF6600"/>
          <w:sz w:val="20"/>
          <w:szCs w:val="20"/>
        </w:rPr>
        <w:t xml:space="preserve">   </w:t>
      </w:r>
      <w:hyperlink w:anchor="最近五年度簡明資產負債表" w:history="1">
        <w:r w:rsidR="00161123" w:rsidRPr="00D87F5A">
          <w:rPr>
            <w:rStyle w:val="a6"/>
            <w:b/>
            <w:bCs/>
            <w:color w:val="FF6600"/>
            <w:sz w:val="20"/>
            <w:szCs w:val="20"/>
          </w:rPr>
          <w:t>最近五年度簡明資產負債表</w:t>
        </w:r>
      </w:hyperlink>
    </w:p>
    <w:p w:rsidR="00161123" w:rsidRPr="00D87F5A" w:rsidRDefault="00910C26">
      <w:pPr>
        <w:rPr>
          <w:b/>
          <w:bCs/>
          <w:sz w:val="20"/>
        </w:rPr>
      </w:pPr>
      <w:r>
        <w:rPr>
          <w:b/>
          <w:bCs/>
          <w:noProof/>
          <w:color w:val="FF6600"/>
          <w:sz w:val="20"/>
          <w:szCs w:val="20"/>
        </w:rPr>
        <w:drawing>
          <wp:anchor distT="0" distB="0" distL="114300" distR="114300" simplePos="0" relativeHeight="251661312" behindDoc="1" locked="0" layoutInCell="1" allowOverlap="1" wp14:anchorId="1DBFB1A6" wp14:editId="5E0EDFE1">
            <wp:simplePos x="0" y="0"/>
            <wp:positionH relativeFrom="column">
              <wp:posOffset>0</wp:posOffset>
            </wp:positionH>
            <wp:positionV relativeFrom="paragraph">
              <wp:posOffset>42545</wp:posOffset>
            </wp:positionV>
            <wp:extent cx="152400" cy="146050"/>
            <wp:effectExtent l="0" t="0" r="0" b="635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D87F5A">
        <w:rPr>
          <w:b/>
          <w:bCs/>
          <w:color w:val="FF6600"/>
          <w:sz w:val="20"/>
          <w:szCs w:val="20"/>
        </w:rPr>
        <w:t xml:space="preserve">   </w:t>
      </w:r>
      <w:hyperlink w:anchor="最近三年度財務比率及股利發放情形" w:history="1">
        <w:r w:rsidR="00161123" w:rsidRPr="00D87F5A">
          <w:rPr>
            <w:rStyle w:val="a6"/>
            <w:b/>
            <w:bCs/>
            <w:color w:val="FF6600"/>
            <w:sz w:val="20"/>
            <w:szCs w:val="20"/>
          </w:rPr>
          <w:t>最近三年度財務比率</w:t>
        </w:r>
      </w:hyperlink>
    </w:p>
    <w:p w:rsidR="00161123" w:rsidRPr="00D87F5A" w:rsidRDefault="00161123" w:rsidP="002E0E42">
      <w:pPr>
        <w:spacing w:beforeLines="50" w:before="180"/>
      </w:pPr>
      <w:r w:rsidRPr="00D87F5A">
        <w:rPr>
          <w:b/>
          <w:bCs/>
          <w:sz w:val="20"/>
        </w:rPr>
        <w:t>公司名稱：</w:t>
      </w:r>
      <w:r w:rsidR="007E51A2" w:rsidRPr="00D87F5A">
        <w:rPr>
          <w:b/>
          <w:bCs/>
          <w:color w:val="FF6600"/>
          <w:sz w:val="20"/>
        </w:rPr>
        <w:t>台康生技</w:t>
      </w:r>
      <w:r w:rsidRPr="00D87F5A">
        <w:rPr>
          <w:b/>
          <w:bCs/>
          <w:color w:val="FF6600"/>
          <w:sz w:val="20"/>
        </w:rPr>
        <w:t>股份有限公司</w:t>
      </w:r>
      <w:r w:rsidRPr="00D87F5A">
        <w:rPr>
          <w:b/>
          <w:bCs/>
          <w:sz w:val="20"/>
        </w:rPr>
        <w:t xml:space="preserve"> (</w:t>
      </w:r>
      <w:r w:rsidRPr="00D87F5A">
        <w:rPr>
          <w:b/>
          <w:bCs/>
          <w:sz w:val="20"/>
        </w:rPr>
        <w:t>股票代號：</w:t>
      </w:r>
      <w:r w:rsidR="007E51A2" w:rsidRPr="00D87F5A">
        <w:rPr>
          <w:b/>
          <w:bCs/>
          <w:sz w:val="20"/>
        </w:rPr>
        <w:t>6589</w:t>
      </w:r>
      <w:r w:rsidRPr="00D87F5A">
        <w:rPr>
          <w:b/>
          <w:bCs/>
          <w:sz w:val="20"/>
        </w:rPr>
        <w:t>)</w:t>
      </w:r>
      <w:bookmarkStart w:id="1" w:name="基本資料"/>
      <w:bookmarkEnd w:id="1"/>
      <w:r w:rsidRPr="00D87F5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3"/>
        <w:gridCol w:w="6705"/>
      </w:tblGrid>
      <w:tr w:rsidR="00161123" w:rsidRPr="00D87F5A" w:rsidTr="00D87F5A">
        <w:trPr>
          <w:cantSplit/>
        </w:trPr>
        <w:tc>
          <w:tcPr>
            <w:tcW w:w="2863" w:type="dxa"/>
            <w:shd w:val="clear" w:color="auto" w:fill="F9F9F9"/>
          </w:tcPr>
          <w:p w:rsidR="00161123" w:rsidRPr="003F2B3F" w:rsidRDefault="00161123">
            <w:pPr>
              <w:rPr>
                <w:rFonts w:eastAsia="標楷體"/>
              </w:rPr>
            </w:pPr>
            <w:r w:rsidRPr="003F2B3F">
              <w:rPr>
                <w:rFonts w:eastAsia="標楷體"/>
              </w:rPr>
              <w:t>輔導推薦證券商</w:t>
            </w:r>
          </w:p>
        </w:tc>
        <w:tc>
          <w:tcPr>
            <w:tcW w:w="6705" w:type="dxa"/>
          </w:tcPr>
          <w:p w:rsidR="00161123" w:rsidRPr="003F2B3F" w:rsidRDefault="007E51A2">
            <w:pPr>
              <w:rPr>
                <w:rFonts w:eastAsia="標楷體"/>
              </w:rPr>
            </w:pPr>
            <w:r w:rsidRPr="003F2B3F">
              <w:rPr>
                <w:rFonts w:eastAsia="標楷體"/>
              </w:rPr>
              <w:t>凱基證券股份有限公司</w:t>
            </w:r>
          </w:p>
          <w:p w:rsidR="00ED7520" w:rsidRPr="003D3E5D" w:rsidRDefault="00ED7520" w:rsidP="00ED7520">
            <w:pPr>
              <w:rPr>
                <w:rFonts w:eastAsia="標楷體"/>
              </w:rPr>
            </w:pPr>
            <w:r w:rsidRPr="003D3E5D">
              <w:rPr>
                <w:rFonts w:eastAsia="標楷體"/>
              </w:rPr>
              <w:t>富邦綜合證券股份有限公司</w:t>
            </w:r>
          </w:p>
          <w:p w:rsidR="00ED7520" w:rsidRPr="003F2B3F" w:rsidRDefault="00ED7520" w:rsidP="00ED7520">
            <w:pPr>
              <w:rPr>
                <w:rFonts w:eastAsia="標楷體"/>
              </w:rPr>
            </w:pPr>
            <w:r w:rsidRPr="003D3E5D">
              <w:rPr>
                <w:rFonts w:eastAsia="標楷體"/>
              </w:rPr>
              <w:t>中國信託綜合證券股份有限公司</w:t>
            </w:r>
          </w:p>
        </w:tc>
      </w:tr>
      <w:tr w:rsidR="00FD1CF9" w:rsidRPr="00D87F5A" w:rsidTr="00D87F5A">
        <w:trPr>
          <w:cantSplit/>
        </w:trPr>
        <w:tc>
          <w:tcPr>
            <w:tcW w:w="2863" w:type="dxa"/>
            <w:shd w:val="clear" w:color="auto" w:fill="F9F9F9"/>
          </w:tcPr>
          <w:p w:rsidR="00FD1CF9" w:rsidRPr="00194ACF" w:rsidRDefault="00FD1CF9" w:rsidP="00385C47">
            <w:pPr>
              <w:rPr>
                <w:rFonts w:eastAsia="標楷體"/>
              </w:rPr>
            </w:pPr>
            <w:r w:rsidRPr="00194ACF">
              <w:rPr>
                <w:rFonts w:eastAsia="標楷體" w:hint="eastAsia"/>
              </w:rPr>
              <w:t>主辦輔導券商聯絡</w:t>
            </w:r>
            <w:r w:rsidR="00553CD3" w:rsidRPr="00194ACF">
              <w:rPr>
                <w:rFonts w:eastAsia="標楷體" w:hint="eastAsia"/>
              </w:rPr>
              <w:t>人</w:t>
            </w:r>
            <w:r w:rsidRPr="00194ACF">
              <w:rPr>
                <w:rFonts w:eastAsia="標楷體" w:hint="eastAsia"/>
              </w:rPr>
              <w:t>電話</w:t>
            </w:r>
          </w:p>
        </w:tc>
        <w:tc>
          <w:tcPr>
            <w:tcW w:w="6705" w:type="dxa"/>
          </w:tcPr>
          <w:p w:rsidR="00ED7520" w:rsidRPr="00194ACF" w:rsidRDefault="00ED7520" w:rsidP="00ED7520">
            <w:pPr>
              <w:spacing w:line="360" w:lineRule="exact"/>
              <w:rPr>
                <w:rFonts w:eastAsia="標楷體"/>
              </w:rPr>
            </w:pPr>
            <w:r w:rsidRPr="00194ACF">
              <w:rPr>
                <w:rFonts w:eastAsia="標楷體" w:hint="eastAsia"/>
              </w:rPr>
              <w:t>凱基證券股份有限公司</w:t>
            </w:r>
          </w:p>
          <w:p w:rsidR="00ED7520" w:rsidRPr="00194ACF" w:rsidRDefault="00ED7520" w:rsidP="00ED7520">
            <w:pPr>
              <w:spacing w:line="360" w:lineRule="exact"/>
              <w:rPr>
                <w:rFonts w:eastAsia="標楷體"/>
              </w:rPr>
            </w:pPr>
            <w:r w:rsidRPr="00194ACF">
              <w:rPr>
                <w:rFonts w:eastAsia="標楷體" w:hint="eastAsia"/>
              </w:rPr>
              <w:t>聯絡人：林明玲小姐</w:t>
            </w:r>
          </w:p>
          <w:p w:rsidR="00FD1CF9" w:rsidRPr="00904300" w:rsidRDefault="00ED7520" w:rsidP="00ED7520">
            <w:pPr>
              <w:rPr>
                <w:rFonts w:eastAsia="標楷體"/>
              </w:rPr>
            </w:pPr>
            <w:r w:rsidRPr="00194ACF">
              <w:rPr>
                <w:rFonts w:eastAsia="標楷體" w:hint="eastAsia"/>
              </w:rPr>
              <w:t>聯絡電話：公司電話：</w:t>
            </w:r>
            <w:r w:rsidRPr="00194ACF">
              <w:rPr>
                <w:rFonts w:eastAsia="標楷體"/>
              </w:rPr>
              <w:t xml:space="preserve">(02)2181-8888 </w:t>
            </w:r>
            <w:r w:rsidRPr="00194ACF">
              <w:rPr>
                <w:rFonts w:eastAsia="標楷體" w:hint="eastAsia"/>
              </w:rPr>
              <w:t>分機</w:t>
            </w:r>
            <w:r w:rsidRPr="00194ACF">
              <w:rPr>
                <w:rFonts w:eastAsia="標楷體"/>
              </w:rPr>
              <w:t xml:space="preserve"> 8125</w:t>
            </w:r>
          </w:p>
        </w:tc>
      </w:tr>
      <w:tr w:rsidR="00161123" w:rsidRPr="00D87F5A" w:rsidTr="00D87F5A">
        <w:trPr>
          <w:cantSplit/>
        </w:trPr>
        <w:tc>
          <w:tcPr>
            <w:tcW w:w="2863" w:type="dxa"/>
            <w:shd w:val="clear" w:color="auto" w:fill="F9F9F9"/>
          </w:tcPr>
          <w:p w:rsidR="00161123" w:rsidRPr="003F2B3F" w:rsidRDefault="00161123">
            <w:pPr>
              <w:rPr>
                <w:rFonts w:eastAsia="標楷體"/>
              </w:rPr>
            </w:pPr>
            <w:r w:rsidRPr="003F2B3F">
              <w:rPr>
                <w:rFonts w:eastAsia="標楷體"/>
              </w:rPr>
              <w:t>註冊地國</w:t>
            </w:r>
          </w:p>
        </w:tc>
        <w:tc>
          <w:tcPr>
            <w:tcW w:w="6705" w:type="dxa"/>
          </w:tcPr>
          <w:p w:rsidR="00161123" w:rsidRPr="003F2B3F" w:rsidRDefault="00ED7520">
            <w:pPr>
              <w:rPr>
                <w:rFonts w:eastAsia="標楷體"/>
              </w:rPr>
            </w:pPr>
            <w:r w:rsidRPr="003F2B3F">
              <w:rPr>
                <w:rFonts w:eastAsia="標楷體"/>
              </w:rPr>
              <w:t>不適用</w:t>
            </w:r>
          </w:p>
        </w:tc>
      </w:tr>
      <w:tr w:rsidR="00161123" w:rsidRPr="00D87F5A" w:rsidTr="00D87F5A">
        <w:trPr>
          <w:cantSplit/>
        </w:trPr>
        <w:tc>
          <w:tcPr>
            <w:tcW w:w="2863" w:type="dxa"/>
            <w:shd w:val="clear" w:color="auto" w:fill="F9F9F9"/>
          </w:tcPr>
          <w:p w:rsidR="00161123" w:rsidRPr="003F2B3F" w:rsidRDefault="00161123">
            <w:pPr>
              <w:rPr>
                <w:rFonts w:eastAsia="標楷體"/>
              </w:rPr>
            </w:pPr>
            <w:r w:rsidRPr="003F2B3F">
              <w:rPr>
                <w:rFonts w:eastAsia="標楷體"/>
              </w:rPr>
              <w:t>訴訟及非訟代理人</w:t>
            </w:r>
          </w:p>
        </w:tc>
        <w:tc>
          <w:tcPr>
            <w:tcW w:w="6705" w:type="dxa"/>
          </w:tcPr>
          <w:p w:rsidR="00161123" w:rsidRPr="003F2B3F" w:rsidRDefault="00ED7520" w:rsidP="00ED7520">
            <w:pPr>
              <w:rPr>
                <w:rFonts w:eastAsia="標楷體"/>
              </w:rPr>
            </w:pPr>
            <w:r w:rsidRPr="003F2B3F">
              <w:rPr>
                <w:rFonts w:eastAsia="標楷體"/>
              </w:rPr>
              <w:t>不</w:t>
            </w:r>
            <w:r w:rsidR="00161123" w:rsidRPr="003F2B3F">
              <w:rPr>
                <w:rFonts w:eastAsia="標楷體"/>
              </w:rPr>
              <w:t>適用</w:t>
            </w:r>
          </w:p>
        </w:tc>
      </w:tr>
    </w:tbl>
    <w:p w:rsidR="00161123" w:rsidRPr="00D87F5A" w:rsidRDefault="00161123">
      <w:pPr>
        <w:jc w:val="both"/>
      </w:pPr>
      <w:r w:rsidRPr="00D87F5A">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984"/>
        <w:gridCol w:w="1985"/>
        <w:gridCol w:w="2410"/>
      </w:tblGrid>
      <w:tr w:rsidR="003F2B3F" w:rsidRPr="003F2B3F" w:rsidTr="003D3E5D">
        <w:tc>
          <w:tcPr>
            <w:tcW w:w="9498" w:type="dxa"/>
            <w:gridSpan w:val="5"/>
            <w:shd w:val="clear" w:color="auto" w:fill="auto"/>
          </w:tcPr>
          <w:p w:rsidR="00BF2B97" w:rsidRPr="00545670" w:rsidRDefault="00BF2B97" w:rsidP="00ED7520">
            <w:pPr>
              <w:jc w:val="center"/>
              <w:rPr>
                <w:rFonts w:eastAsia="標楷體"/>
              </w:rPr>
            </w:pPr>
            <w:r w:rsidRPr="00545670">
              <w:rPr>
                <w:rFonts w:eastAsia="標楷體" w:hint="eastAsia"/>
              </w:rPr>
              <w:t>輔導推薦證券商認購</w:t>
            </w:r>
            <w:r w:rsidR="00ED7520" w:rsidRPr="00545670">
              <w:rPr>
                <w:rFonts w:eastAsia="標楷體" w:hint="eastAsia"/>
              </w:rPr>
              <w:t>台康生技股份有限</w:t>
            </w:r>
            <w:r w:rsidRPr="00545670">
              <w:rPr>
                <w:rFonts w:eastAsia="標楷體" w:hint="eastAsia"/>
              </w:rPr>
              <w:t>公司股票之相關資訊</w:t>
            </w:r>
          </w:p>
        </w:tc>
      </w:tr>
      <w:tr w:rsidR="002D1117" w:rsidRPr="003F2B3F" w:rsidTr="00832527">
        <w:tc>
          <w:tcPr>
            <w:tcW w:w="3119" w:type="dxa"/>
            <w:gridSpan w:val="2"/>
            <w:vMerge w:val="restart"/>
            <w:shd w:val="clear" w:color="auto" w:fill="auto"/>
            <w:vAlign w:val="center"/>
          </w:tcPr>
          <w:p w:rsidR="002D1117" w:rsidRPr="00545670" w:rsidRDefault="002D1117" w:rsidP="00D00024">
            <w:pPr>
              <w:jc w:val="center"/>
              <w:rPr>
                <w:rFonts w:eastAsia="標楷體"/>
              </w:rPr>
            </w:pPr>
            <w:r w:rsidRPr="00545670">
              <w:rPr>
                <w:rFonts w:eastAsia="標楷體" w:hint="eastAsia"/>
              </w:rPr>
              <w:t>證券商名稱</w:t>
            </w:r>
          </w:p>
        </w:tc>
        <w:tc>
          <w:tcPr>
            <w:tcW w:w="1984" w:type="dxa"/>
            <w:shd w:val="clear" w:color="auto" w:fill="auto"/>
          </w:tcPr>
          <w:p w:rsidR="002D1117" w:rsidRPr="00545670" w:rsidRDefault="002D1117" w:rsidP="00F23D95">
            <w:pPr>
              <w:jc w:val="center"/>
              <w:rPr>
                <w:rFonts w:eastAsia="標楷體"/>
              </w:rPr>
            </w:pPr>
            <w:r w:rsidRPr="00545670">
              <w:rPr>
                <w:rFonts w:eastAsia="標楷體" w:hint="eastAsia"/>
              </w:rPr>
              <w:t>主辦</w:t>
            </w:r>
          </w:p>
        </w:tc>
        <w:tc>
          <w:tcPr>
            <w:tcW w:w="1985" w:type="dxa"/>
            <w:shd w:val="clear" w:color="auto" w:fill="auto"/>
          </w:tcPr>
          <w:p w:rsidR="002D1117" w:rsidRPr="00545670" w:rsidRDefault="002D1117" w:rsidP="002D1117">
            <w:pPr>
              <w:jc w:val="center"/>
              <w:rPr>
                <w:rFonts w:eastAsia="標楷體"/>
              </w:rPr>
            </w:pPr>
            <w:r w:rsidRPr="00545670">
              <w:rPr>
                <w:rFonts w:eastAsia="標楷體" w:hint="eastAsia"/>
              </w:rPr>
              <w:t>協辦</w:t>
            </w:r>
          </w:p>
        </w:tc>
        <w:tc>
          <w:tcPr>
            <w:tcW w:w="2410" w:type="dxa"/>
            <w:shd w:val="clear" w:color="auto" w:fill="auto"/>
          </w:tcPr>
          <w:p w:rsidR="002D1117" w:rsidRPr="00545670" w:rsidRDefault="002D1117" w:rsidP="00BA60D4">
            <w:pPr>
              <w:jc w:val="center"/>
              <w:rPr>
                <w:rFonts w:eastAsia="標楷體"/>
              </w:rPr>
            </w:pPr>
            <w:r w:rsidRPr="00545670">
              <w:rPr>
                <w:rFonts w:eastAsia="標楷體" w:hint="eastAsia"/>
              </w:rPr>
              <w:t>協辦</w:t>
            </w:r>
          </w:p>
        </w:tc>
      </w:tr>
      <w:tr w:rsidR="002D1117" w:rsidRPr="003F2B3F" w:rsidTr="00832527">
        <w:tc>
          <w:tcPr>
            <w:tcW w:w="3119" w:type="dxa"/>
            <w:gridSpan w:val="2"/>
            <w:vMerge/>
            <w:shd w:val="clear" w:color="auto" w:fill="auto"/>
          </w:tcPr>
          <w:p w:rsidR="002D1117" w:rsidRPr="00545670" w:rsidRDefault="002D1117" w:rsidP="00F23D95">
            <w:pPr>
              <w:jc w:val="center"/>
              <w:rPr>
                <w:rFonts w:eastAsia="標楷體"/>
              </w:rPr>
            </w:pPr>
          </w:p>
        </w:tc>
        <w:tc>
          <w:tcPr>
            <w:tcW w:w="1984" w:type="dxa"/>
            <w:shd w:val="clear" w:color="auto" w:fill="auto"/>
          </w:tcPr>
          <w:p w:rsidR="002D1117" w:rsidRPr="00545670" w:rsidRDefault="002D1117" w:rsidP="00EE4C00">
            <w:pPr>
              <w:jc w:val="center"/>
              <w:rPr>
                <w:rFonts w:eastAsia="標楷體"/>
              </w:rPr>
            </w:pPr>
            <w:r w:rsidRPr="00545670">
              <w:rPr>
                <w:rFonts w:eastAsia="標楷體" w:hint="eastAsia"/>
              </w:rPr>
              <w:t>凱基證券</w:t>
            </w:r>
          </w:p>
          <w:p w:rsidR="002D1117" w:rsidRPr="00545670" w:rsidRDefault="002D1117" w:rsidP="00EE4C00">
            <w:pPr>
              <w:jc w:val="center"/>
              <w:rPr>
                <w:rFonts w:eastAsia="標楷體"/>
                <w:u w:val="single"/>
              </w:rPr>
            </w:pPr>
            <w:r w:rsidRPr="00545670">
              <w:rPr>
                <w:rFonts w:eastAsia="標楷體" w:hint="eastAsia"/>
              </w:rPr>
              <w:t>股份有限公司</w:t>
            </w:r>
          </w:p>
        </w:tc>
        <w:tc>
          <w:tcPr>
            <w:tcW w:w="1985" w:type="dxa"/>
            <w:shd w:val="clear" w:color="auto" w:fill="auto"/>
          </w:tcPr>
          <w:p w:rsidR="002D1117" w:rsidRPr="00545670" w:rsidRDefault="002D1117">
            <w:pPr>
              <w:jc w:val="center"/>
              <w:rPr>
                <w:rFonts w:eastAsia="標楷體"/>
              </w:rPr>
            </w:pPr>
            <w:r w:rsidRPr="00545670">
              <w:rPr>
                <w:rFonts w:eastAsia="標楷體" w:hint="eastAsia"/>
              </w:rPr>
              <w:t>富邦綜合證券</w:t>
            </w:r>
          </w:p>
          <w:p w:rsidR="002D1117" w:rsidRPr="00545670" w:rsidRDefault="002D1117">
            <w:pPr>
              <w:jc w:val="center"/>
              <w:rPr>
                <w:rFonts w:eastAsia="標楷體"/>
              </w:rPr>
            </w:pPr>
            <w:r w:rsidRPr="00545670">
              <w:rPr>
                <w:rFonts w:eastAsia="標楷體" w:hint="eastAsia"/>
              </w:rPr>
              <w:t>股份有限公司</w:t>
            </w:r>
          </w:p>
        </w:tc>
        <w:tc>
          <w:tcPr>
            <w:tcW w:w="2410" w:type="dxa"/>
            <w:shd w:val="clear" w:color="auto" w:fill="auto"/>
          </w:tcPr>
          <w:p w:rsidR="002D1117" w:rsidRPr="00545670" w:rsidRDefault="002D1117" w:rsidP="00EE4C00">
            <w:pPr>
              <w:jc w:val="center"/>
              <w:rPr>
                <w:rFonts w:eastAsia="標楷體"/>
              </w:rPr>
            </w:pPr>
            <w:r w:rsidRPr="00545670">
              <w:rPr>
                <w:rFonts w:eastAsia="標楷體" w:hint="eastAsia"/>
              </w:rPr>
              <w:t>中國信託綜合證券股份有限公司</w:t>
            </w:r>
          </w:p>
        </w:tc>
      </w:tr>
      <w:tr w:rsidR="00545670" w:rsidRPr="003F2B3F" w:rsidTr="00832527">
        <w:trPr>
          <w:trHeight w:val="402"/>
        </w:trPr>
        <w:tc>
          <w:tcPr>
            <w:tcW w:w="1701" w:type="dxa"/>
            <w:vMerge w:val="restart"/>
            <w:shd w:val="clear" w:color="auto" w:fill="auto"/>
            <w:vAlign w:val="center"/>
          </w:tcPr>
          <w:p w:rsidR="00545670" w:rsidRPr="00545670" w:rsidRDefault="00545670">
            <w:pPr>
              <w:jc w:val="center"/>
              <w:rPr>
                <w:rFonts w:eastAsia="標楷體"/>
              </w:rPr>
            </w:pPr>
            <w:r w:rsidRPr="00545670">
              <w:rPr>
                <w:rFonts w:eastAsia="標楷體" w:hint="eastAsia"/>
              </w:rPr>
              <w:t>認購日期</w:t>
            </w:r>
          </w:p>
        </w:tc>
        <w:tc>
          <w:tcPr>
            <w:tcW w:w="1418" w:type="dxa"/>
            <w:shd w:val="clear" w:color="auto" w:fill="auto"/>
            <w:vAlign w:val="center"/>
          </w:tcPr>
          <w:p w:rsidR="00545670" w:rsidRPr="00545670" w:rsidRDefault="00545670" w:rsidP="00545670">
            <w:pPr>
              <w:jc w:val="center"/>
              <w:rPr>
                <w:rFonts w:eastAsia="標楷體"/>
              </w:rPr>
            </w:pPr>
            <w:r w:rsidRPr="00545670">
              <w:rPr>
                <w:rFonts w:eastAsia="標楷體" w:hint="eastAsia"/>
              </w:rPr>
              <w:t>第一次認購</w:t>
            </w:r>
          </w:p>
        </w:tc>
        <w:tc>
          <w:tcPr>
            <w:tcW w:w="6379" w:type="dxa"/>
            <w:gridSpan w:val="3"/>
            <w:shd w:val="clear" w:color="auto" w:fill="auto"/>
            <w:vAlign w:val="center"/>
          </w:tcPr>
          <w:p w:rsidR="00545670" w:rsidRPr="00545670" w:rsidRDefault="00545670" w:rsidP="00194ACF">
            <w:pPr>
              <w:jc w:val="center"/>
              <w:rPr>
                <w:rFonts w:eastAsia="標楷體"/>
              </w:rPr>
            </w:pPr>
            <w:r w:rsidRPr="00545670">
              <w:rPr>
                <w:rFonts w:eastAsia="標楷體"/>
              </w:rPr>
              <w:t>105</w:t>
            </w:r>
            <w:r w:rsidRPr="00545670">
              <w:rPr>
                <w:rFonts w:eastAsia="標楷體" w:hint="eastAsia"/>
              </w:rPr>
              <w:t>年</w:t>
            </w:r>
            <w:r w:rsidRPr="00545670">
              <w:rPr>
                <w:rFonts w:eastAsia="標楷體"/>
              </w:rPr>
              <w:t>9</w:t>
            </w:r>
            <w:r w:rsidRPr="00545670">
              <w:rPr>
                <w:rFonts w:eastAsia="標楷體" w:hint="eastAsia"/>
              </w:rPr>
              <w:t>月</w:t>
            </w:r>
            <w:r w:rsidRPr="00545670">
              <w:rPr>
                <w:rFonts w:eastAsia="標楷體"/>
              </w:rPr>
              <w:t>29</w:t>
            </w:r>
            <w:r w:rsidRPr="00545670">
              <w:rPr>
                <w:rFonts w:eastAsia="標楷體" w:hint="eastAsia"/>
              </w:rPr>
              <w:t>日</w:t>
            </w:r>
          </w:p>
        </w:tc>
      </w:tr>
      <w:tr w:rsidR="00545670" w:rsidRPr="003F2B3F" w:rsidTr="00832527">
        <w:trPr>
          <w:trHeight w:val="402"/>
        </w:trPr>
        <w:tc>
          <w:tcPr>
            <w:tcW w:w="1701" w:type="dxa"/>
            <w:vMerge/>
            <w:shd w:val="clear" w:color="auto" w:fill="auto"/>
            <w:vAlign w:val="center"/>
          </w:tcPr>
          <w:p w:rsidR="00545670" w:rsidRPr="00545670" w:rsidRDefault="00545670" w:rsidP="00FA785D">
            <w:pPr>
              <w:jc w:val="center"/>
              <w:rPr>
                <w:rFonts w:eastAsia="標楷體"/>
              </w:rPr>
            </w:pPr>
          </w:p>
        </w:tc>
        <w:tc>
          <w:tcPr>
            <w:tcW w:w="1418" w:type="dxa"/>
            <w:shd w:val="clear" w:color="auto" w:fill="auto"/>
            <w:vAlign w:val="center"/>
          </w:tcPr>
          <w:p w:rsidR="00545670" w:rsidRPr="00545670" w:rsidRDefault="00545670">
            <w:pPr>
              <w:jc w:val="center"/>
              <w:rPr>
                <w:rFonts w:eastAsia="標楷體"/>
              </w:rPr>
            </w:pPr>
            <w:r w:rsidRPr="00545670">
              <w:rPr>
                <w:rFonts w:eastAsia="標楷體" w:hint="eastAsia"/>
              </w:rPr>
              <w:t>第二次認購</w:t>
            </w:r>
          </w:p>
        </w:tc>
        <w:tc>
          <w:tcPr>
            <w:tcW w:w="6379" w:type="dxa"/>
            <w:gridSpan w:val="3"/>
            <w:shd w:val="clear" w:color="auto" w:fill="auto"/>
            <w:vAlign w:val="center"/>
          </w:tcPr>
          <w:p w:rsidR="00545670" w:rsidRPr="00545670" w:rsidRDefault="00545670" w:rsidP="001E2E2D">
            <w:pPr>
              <w:jc w:val="center"/>
              <w:rPr>
                <w:rFonts w:eastAsia="標楷體"/>
              </w:rPr>
            </w:pPr>
            <w:r w:rsidRPr="00545670">
              <w:rPr>
                <w:rFonts w:eastAsia="標楷體"/>
              </w:rPr>
              <w:t>105</w:t>
            </w:r>
            <w:r w:rsidRPr="00545670">
              <w:rPr>
                <w:rFonts w:eastAsia="標楷體" w:hint="eastAsia"/>
              </w:rPr>
              <w:t>年</w:t>
            </w:r>
            <w:r w:rsidRPr="00545670">
              <w:rPr>
                <w:rFonts w:eastAsia="標楷體"/>
              </w:rPr>
              <w:t>11</w:t>
            </w:r>
            <w:r w:rsidRPr="00545670">
              <w:rPr>
                <w:rFonts w:eastAsia="標楷體" w:hint="eastAsia"/>
              </w:rPr>
              <w:t>月</w:t>
            </w:r>
            <w:r w:rsidRPr="00545670">
              <w:rPr>
                <w:rFonts w:eastAsia="標楷體"/>
              </w:rPr>
              <w:t>17</w:t>
            </w:r>
            <w:r w:rsidRPr="00545670">
              <w:rPr>
                <w:rFonts w:eastAsia="標楷體" w:hint="eastAsia"/>
              </w:rPr>
              <w:t>日</w:t>
            </w:r>
          </w:p>
        </w:tc>
      </w:tr>
      <w:tr w:rsidR="00545670" w:rsidRPr="00545670" w:rsidTr="00832527">
        <w:tc>
          <w:tcPr>
            <w:tcW w:w="1701" w:type="dxa"/>
            <w:vMerge w:val="restart"/>
            <w:shd w:val="clear" w:color="auto" w:fill="auto"/>
            <w:vAlign w:val="center"/>
          </w:tcPr>
          <w:p w:rsidR="00545670" w:rsidRPr="00545670" w:rsidRDefault="00545670">
            <w:pPr>
              <w:jc w:val="center"/>
              <w:rPr>
                <w:rFonts w:eastAsia="標楷體"/>
              </w:rPr>
            </w:pPr>
            <w:r w:rsidRPr="00545670">
              <w:rPr>
                <w:rFonts w:eastAsia="標楷體" w:hint="eastAsia"/>
              </w:rPr>
              <w:t>認購股數（股）</w:t>
            </w:r>
          </w:p>
        </w:tc>
        <w:tc>
          <w:tcPr>
            <w:tcW w:w="1418" w:type="dxa"/>
            <w:shd w:val="clear" w:color="auto" w:fill="auto"/>
            <w:vAlign w:val="center"/>
          </w:tcPr>
          <w:p w:rsidR="00545670" w:rsidRPr="00545670" w:rsidRDefault="00545670" w:rsidP="00545670">
            <w:pPr>
              <w:jc w:val="center"/>
              <w:rPr>
                <w:rFonts w:eastAsia="標楷體"/>
              </w:rPr>
            </w:pPr>
            <w:r w:rsidRPr="00545670">
              <w:rPr>
                <w:rFonts w:eastAsia="標楷體" w:hint="eastAsia"/>
              </w:rPr>
              <w:t>第一次認購</w:t>
            </w:r>
          </w:p>
        </w:tc>
        <w:tc>
          <w:tcPr>
            <w:tcW w:w="1984" w:type="dxa"/>
            <w:shd w:val="clear" w:color="auto" w:fill="auto"/>
            <w:vAlign w:val="center"/>
          </w:tcPr>
          <w:p w:rsidR="00545670" w:rsidRPr="00545670" w:rsidRDefault="00545670">
            <w:pPr>
              <w:jc w:val="center"/>
              <w:rPr>
                <w:rFonts w:eastAsia="標楷體"/>
              </w:rPr>
            </w:pPr>
            <w:r w:rsidRPr="00545670">
              <w:rPr>
                <w:rFonts w:eastAsia="標楷體"/>
              </w:rPr>
              <w:t>1,456,000</w:t>
            </w:r>
          </w:p>
        </w:tc>
        <w:tc>
          <w:tcPr>
            <w:tcW w:w="1985" w:type="dxa"/>
            <w:shd w:val="clear" w:color="auto" w:fill="auto"/>
            <w:vAlign w:val="center"/>
          </w:tcPr>
          <w:p w:rsidR="00545670" w:rsidRPr="00545670" w:rsidRDefault="00545670">
            <w:pPr>
              <w:jc w:val="center"/>
              <w:rPr>
                <w:rFonts w:eastAsia="標楷體"/>
              </w:rPr>
            </w:pPr>
            <w:r w:rsidRPr="00545670">
              <w:rPr>
                <w:rFonts w:eastAsia="標楷體"/>
              </w:rPr>
              <w:t>-</w:t>
            </w:r>
          </w:p>
        </w:tc>
        <w:tc>
          <w:tcPr>
            <w:tcW w:w="2410" w:type="dxa"/>
            <w:shd w:val="clear" w:color="auto" w:fill="auto"/>
            <w:vAlign w:val="center"/>
          </w:tcPr>
          <w:p w:rsidR="00545670" w:rsidRPr="00545670" w:rsidRDefault="00545670" w:rsidP="00194ACF">
            <w:pPr>
              <w:jc w:val="center"/>
              <w:rPr>
                <w:rFonts w:eastAsia="標楷體"/>
              </w:rPr>
            </w:pPr>
            <w:r w:rsidRPr="00545670">
              <w:rPr>
                <w:rFonts w:eastAsia="標楷體"/>
              </w:rPr>
              <w:t>-</w:t>
            </w:r>
          </w:p>
        </w:tc>
      </w:tr>
      <w:tr w:rsidR="00545670" w:rsidRPr="00545670" w:rsidTr="00832527">
        <w:tc>
          <w:tcPr>
            <w:tcW w:w="1701" w:type="dxa"/>
            <w:vMerge/>
            <w:shd w:val="clear" w:color="auto" w:fill="auto"/>
            <w:vAlign w:val="center"/>
          </w:tcPr>
          <w:p w:rsidR="00545670" w:rsidRPr="00545670" w:rsidRDefault="00545670">
            <w:pPr>
              <w:jc w:val="center"/>
              <w:rPr>
                <w:rFonts w:eastAsia="標楷體"/>
              </w:rPr>
            </w:pPr>
          </w:p>
        </w:tc>
        <w:tc>
          <w:tcPr>
            <w:tcW w:w="1418" w:type="dxa"/>
            <w:shd w:val="clear" w:color="auto" w:fill="auto"/>
            <w:vAlign w:val="center"/>
          </w:tcPr>
          <w:p w:rsidR="00545670" w:rsidRPr="00545670" w:rsidRDefault="00545670">
            <w:pPr>
              <w:jc w:val="center"/>
              <w:rPr>
                <w:rFonts w:eastAsia="標楷體"/>
              </w:rPr>
            </w:pPr>
            <w:r w:rsidRPr="00545670">
              <w:rPr>
                <w:rFonts w:eastAsia="標楷體" w:hint="eastAsia"/>
              </w:rPr>
              <w:t>第二次認購</w:t>
            </w:r>
          </w:p>
        </w:tc>
        <w:tc>
          <w:tcPr>
            <w:tcW w:w="1984" w:type="dxa"/>
            <w:shd w:val="clear" w:color="auto" w:fill="auto"/>
            <w:vAlign w:val="center"/>
          </w:tcPr>
          <w:p w:rsidR="00545670" w:rsidRPr="00545670" w:rsidDel="003D4CC6" w:rsidRDefault="00545670" w:rsidP="00194ACF">
            <w:pPr>
              <w:jc w:val="center"/>
              <w:rPr>
                <w:rFonts w:eastAsia="標楷體"/>
              </w:rPr>
            </w:pPr>
            <w:r w:rsidRPr="00545670">
              <w:rPr>
                <w:rFonts w:eastAsia="標楷體"/>
              </w:rPr>
              <w:t xml:space="preserve"> 202,000</w:t>
            </w:r>
          </w:p>
        </w:tc>
        <w:tc>
          <w:tcPr>
            <w:tcW w:w="1985" w:type="dxa"/>
            <w:shd w:val="clear" w:color="auto" w:fill="auto"/>
            <w:vAlign w:val="center"/>
          </w:tcPr>
          <w:p w:rsidR="00545670" w:rsidRPr="00545670" w:rsidRDefault="00545670">
            <w:pPr>
              <w:jc w:val="center"/>
              <w:rPr>
                <w:rFonts w:eastAsia="標楷體"/>
              </w:rPr>
            </w:pPr>
            <w:r w:rsidRPr="00545670">
              <w:rPr>
                <w:rFonts w:eastAsia="標楷體"/>
              </w:rPr>
              <w:t>100,000</w:t>
            </w:r>
          </w:p>
        </w:tc>
        <w:tc>
          <w:tcPr>
            <w:tcW w:w="2410" w:type="dxa"/>
            <w:shd w:val="clear" w:color="auto" w:fill="auto"/>
            <w:vAlign w:val="center"/>
          </w:tcPr>
          <w:p w:rsidR="00545670" w:rsidRPr="00545670" w:rsidRDefault="00545670" w:rsidP="00194ACF">
            <w:pPr>
              <w:jc w:val="center"/>
              <w:rPr>
                <w:rFonts w:eastAsia="標楷體"/>
              </w:rPr>
            </w:pPr>
            <w:r w:rsidRPr="00545670">
              <w:rPr>
                <w:rFonts w:eastAsia="標楷體"/>
              </w:rPr>
              <w:t>100,000</w:t>
            </w:r>
          </w:p>
        </w:tc>
      </w:tr>
      <w:tr w:rsidR="00545670" w:rsidRPr="00545670" w:rsidTr="00832527">
        <w:tc>
          <w:tcPr>
            <w:tcW w:w="1701" w:type="dxa"/>
            <w:vMerge w:val="restart"/>
            <w:shd w:val="clear" w:color="auto" w:fill="auto"/>
            <w:vAlign w:val="center"/>
          </w:tcPr>
          <w:p w:rsidR="00545670" w:rsidRPr="00545670" w:rsidRDefault="00545670">
            <w:pPr>
              <w:jc w:val="center"/>
              <w:rPr>
                <w:rFonts w:eastAsia="標楷體"/>
              </w:rPr>
            </w:pPr>
            <w:r w:rsidRPr="00545670">
              <w:rPr>
                <w:rFonts w:eastAsia="標楷體" w:hint="eastAsia"/>
              </w:rPr>
              <w:t>認購占擬櫃檯買賣股份總數之比率</w:t>
            </w:r>
          </w:p>
        </w:tc>
        <w:tc>
          <w:tcPr>
            <w:tcW w:w="1418" w:type="dxa"/>
            <w:shd w:val="clear" w:color="auto" w:fill="auto"/>
            <w:vAlign w:val="center"/>
          </w:tcPr>
          <w:p w:rsidR="00545670" w:rsidRPr="00545670" w:rsidRDefault="00545670">
            <w:pPr>
              <w:jc w:val="center"/>
              <w:rPr>
                <w:rFonts w:eastAsia="標楷體"/>
              </w:rPr>
            </w:pPr>
            <w:r w:rsidRPr="00545670">
              <w:rPr>
                <w:rFonts w:eastAsia="標楷體" w:hint="eastAsia"/>
              </w:rPr>
              <w:t>第一次認購</w:t>
            </w:r>
          </w:p>
        </w:tc>
        <w:tc>
          <w:tcPr>
            <w:tcW w:w="1984" w:type="dxa"/>
            <w:shd w:val="clear" w:color="auto" w:fill="auto"/>
            <w:vAlign w:val="center"/>
          </w:tcPr>
          <w:p w:rsidR="00545670" w:rsidRPr="00545670" w:rsidRDefault="00545670">
            <w:pPr>
              <w:jc w:val="center"/>
              <w:rPr>
                <w:rFonts w:eastAsia="標楷體"/>
              </w:rPr>
            </w:pPr>
            <w:r w:rsidRPr="00545670">
              <w:rPr>
                <w:rFonts w:eastAsia="標楷體"/>
              </w:rPr>
              <w:t>1.44%</w:t>
            </w:r>
          </w:p>
        </w:tc>
        <w:tc>
          <w:tcPr>
            <w:tcW w:w="1985" w:type="dxa"/>
            <w:shd w:val="clear" w:color="auto" w:fill="auto"/>
            <w:vAlign w:val="center"/>
          </w:tcPr>
          <w:p w:rsidR="00545670" w:rsidRPr="00545670" w:rsidRDefault="00545670">
            <w:pPr>
              <w:jc w:val="center"/>
              <w:rPr>
                <w:rFonts w:eastAsia="標楷體"/>
              </w:rPr>
            </w:pPr>
            <w:r w:rsidRPr="00545670">
              <w:rPr>
                <w:rFonts w:eastAsia="標楷體"/>
              </w:rPr>
              <w:t>-</w:t>
            </w:r>
          </w:p>
        </w:tc>
        <w:tc>
          <w:tcPr>
            <w:tcW w:w="2410" w:type="dxa"/>
            <w:shd w:val="clear" w:color="auto" w:fill="auto"/>
            <w:vAlign w:val="center"/>
          </w:tcPr>
          <w:p w:rsidR="00545670" w:rsidRPr="00545670" w:rsidRDefault="00545670" w:rsidP="00194ACF">
            <w:pPr>
              <w:jc w:val="center"/>
              <w:rPr>
                <w:rFonts w:eastAsia="標楷體"/>
                <w:u w:val="single"/>
              </w:rPr>
            </w:pPr>
            <w:r w:rsidRPr="00545670">
              <w:rPr>
                <w:rFonts w:eastAsia="標楷體"/>
              </w:rPr>
              <w:t>-</w:t>
            </w:r>
          </w:p>
        </w:tc>
      </w:tr>
      <w:tr w:rsidR="00545670" w:rsidRPr="00545670" w:rsidTr="00832527">
        <w:tc>
          <w:tcPr>
            <w:tcW w:w="1701" w:type="dxa"/>
            <w:vMerge/>
            <w:shd w:val="clear" w:color="auto" w:fill="auto"/>
            <w:vAlign w:val="center"/>
          </w:tcPr>
          <w:p w:rsidR="00545670" w:rsidRPr="00545670" w:rsidRDefault="00545670">
            <w:pPr>
              <w:jc w:val="center"/>
              <w:rPr>
                <w:rFonts w:eastAsia="標楷體"/>
              </w:rPr>
            </w:pPr>
          </w:p>
        </w:tc>
        <w:tc>
          <w:tcPr>
            <w:tcW w:w="1418" w:type="dxa"/>
            <w:shd w:val="clear" w:color="auto" w:fill="auto"/>
            <w:vAlign w:val="center"/>
          </w:tcPr>
          <w:p w:rsidR="00545670" w:rsidRPr="00545670" w:rsidRDefault="00545670">
            <w:pPr>
              <w:jc w:val="center"/>
              <w:rPr>
                <w:rFonts w:eastAsia="標楷體"/>
              </w:rPr>
            </w:pPr>
            <w:r w:rsidRPr="00545670">
              <w:rPr>
                <w:rFonts w:eastAsia="標楷體" w:hint="eastAsia"/>
              </w:rPr>
              <w:t>第二次認購</w:t>
            </w:r>
          </w:p>
        </w:tc>
        <w:tc>
          <w:tcPr>
            <w:tcW w:w="1984" w:type="dxa"/>
            <w:shd w:val="clear" w:color="auto" w:fill="auto"/>
            <w:vAlign w:val="center"/>
          </w:tcPr>
          <w:p w:rsidR="00545670" w:rsidRPr="00545670" w:rsidDel="003D4CC6" w:rsidRDefault="00545670">
            <w:pPr>
              <w:jc w:val="center"/>
              <w:rPr>
                <w:rFonts w:eastAsia="標楷體"/>
              </w:rPr>
            </w:pPr>
            <w:r w:rsidRPr="00545670">
              <w:rPr>
                <w:rFonts w:eastAsia="標楷體"/>
              </w:rPr>
              <w:t>0.20%</w:t>
            </w:r>
          </w:p>
        </w:tc>
        <w:tc>
          <w:tcPr>
            <w:tcW w:w="1985" w:type="dxa"/>
            <w:shd w:val="clear" w:color="auto" w:fill="auto"/>
            <w:vAlign w:val="center"/>
          </w:tcPr>
          <w:p w:rsidR="00545670" w:rsidRPr="00545670" w:rsidRDefault="00545670">
            <w:pPr>
              <w:jc w:val="center"/>
              <w:rPr>
                <w:rFonts w:eastAsia="標楷體"/>
              </w:rPr>
            </w:pPr>
            <w:r w:rsidRPr="00545670">
              <w:rPr>
                <w:rFonts w:eastAsia="標楷體"/>
              </w:rPr>
              <w:t>0.10%</w:t>
            </w:r>
          </w:p>
        </w:tc>
        <w:tc>
          <w:tcPr>
            <w:tcW w:w="2410" w:type="dxa"/>
            <w:shd w:val="clear" w:color="auto" w:fill="auto"/>
            <w:vAlign w:val="center"/>
          </w:tcPr>
          <w:p w:rsidR="00545670" w:rsidRPr="00545670" w:rsidRDefault="00545670" w:rsidP="00194ACF">
            <w:pPr>
              <w:jc w:val="center"/>
              <w:rPr>
                <w:rFonts w:eastAsia="標楷體"/>
              </w:rPr>
            </w:pPr>
            <w:r w:rsidRPr="00545670">
              <w:rPr>
                <w:rFonts w:eastAsia="標楷體"/>
              </w:rPr>
              <w:t>0.10%</w:t>
            </w:r>
          </w:p>
        </w:tc>
      </w:tr>
      <w:tr w:rsidR="00545670" w:rsidRPr="00545670" w:rsidTr="00832527">
        <w:tc>
          <w:tcPr>
            <w:tcW w:w="1701" w:type="dxa"/>
            <w:vMerge w:val="restart"/>
            <w:shd w:val="clear" w:color="auto" w:fill="auto"/>
            <w:vAlign w:val="center"/>
          </w:tcPr>
          <w:p w:rsidR="00545670" w:rsidRPr="00545670" w:rsidRDefault="00545670">
            <w:pPr>
              <w:jc w:val="center"/>
              <w:rPr>
                <w:rFonts w:eastAsia="標楷體"/>
              </w:rPr>
            </w:pPr>
            <w:bookmarkStart w:id="2" w:name="_GoBack"/>
            <w:bookmarkEnd w:id="2"/>
            <w:r w:rsidRPr="00545670">
              <w:rPr>
                <w:rFonts w:eastAsia="標楷體" w:hint="eastAsia"/>
              </w:rPr>
              <w:t>認購價格</w:t>
            </w:r>
          </w:p>
        </w:tc>
        <w:tc>
          <w:tcPr>
            <w:tcW w:w="1418" w:type="dxa"/>
            <w:shd w:val="clear" w:color="auto" w:fill="auto"/>
            <w:vAlign w:val="center"/>
          </w:tcPr>
          <w:p w:rsidR="00545670" w:rsidRPr="00545670" w:rsidRDefault="00545670" w:rsidP="00545670">
            <w:pPr>
              <w:jc w:val="center"/>
              <w:rPr>
                <w:rFonts w:eastAsia="標楷體"/>
              </w:rPr>
            </w:pPr>
            <w:r w:rsidRPr="00545670">
              <w:rPr>
                <w:rFonts w:eastAsia="標楷體" w:hint="eastAsia"/>
              </w:rPr>
              <w:t>第一次認購</w:t>
            </w:r>
          </w:p>
        </w:tc>
        <w:tc>
          <w:tcPr>
            <w:tcW w:w="1984" w:type="dxa"/>
            <w:shd w:val="clear" w:color="auto" w:fill="auto"/>
            <w:vAlign w:val="center"/>
          </w:tcPr>
          <w:p w:rsidR="00545670" w:rsidRPr="00545670" w:rsidRDefault="00545670">
            <w:pPr>
              <w:jc w:val="center"/>
              <w:rPr>
                <w:rFonts w:eastAsia="標楷體"/>
              </w:rPr>
            </w:pPr>
            <w:r w:rsidRPr="00545670">
              <w:rPr>
                <w:rFonts w:eastAsia="標楷體"/>
              </w:rPr>
              <w:t>45</w:t>
            </w:r>
            <w:r w:rsidRPr="00545670">
              <w:rPr>
                <w:rFonts w:eastAsia="標楷體" w:hint="eastAsia"/>
              </w:rPr>
              <w:t>元</w:t>
            </w:r>
          </w:p>
        </w:tc>
        <w:tc>
          <w:tcPr>
            <w:tcW w:w="1985" w:type="dxa"/>
            <w:shd w:val="clear" w:color="auto" w:fill="auto"/>
            <w:vAlign w:val="center"/>
          </w:tcPr>
          <w:p w:rsidR="00545670" w:rsidRPr="00545670" w:rsidRDefault="00545670" w:rsidP="00545670">
            <w:pPr>
              <w:jc w:val="center"/>
              <w:rPr>
                <w:rFonts w:eastAsia="標楷體"/>
              </w:rPr>
            </w:pPr>
            <w:r w:rsidRPr="00545670">
              <w:rPr>
                <w:rFonts w:eastAsia="標楷體"/>
              </w:rPr>
              <w:t>-</w:t>
            </w:r>
          </w:p>
        </w:tc>
        <w:tc>
          <w:tcPr>
            <w:tcW w:w="2410" w:type="dxa"/>
            <w:shd w:val="clear" w:color="auto" w:fill="auto"/>
            <w:vAlign w:val="center"/>
          </w:tcPr>
          <w:p w:rsidR="00545670" w:rsidRPr="00545670" w:rsidRDefault="00545670" w:rsidP="00545670">
            <w:pPr>
              <w:jc w:val="center"/>
              <w:rPr>
                <w:rFonts w:eastAsia="標楷體"/>
              </w:rPr>
            </w:pPr>
            <w:r w:rsidRPr="00545670">
              <w:rPr>
                <w:rFonts w:eastAsia="標楷體"/>
              </w:rPr>
              <w:t>-</w:t>
            </w:r>
          </w:p>
        </w:tc>
      </w:tr>
      <w:tr w:rsidR="00545670" w:rsidRPr="00545670" w:rsidTr="00832527">
        <w:tc>
          <w:tcPr>
            <w:tcW w:w="1701" w:type="dxa"/>
            <w:vMerge/>
            <w:shd w:val="clear" w:color="auto" w:fill="auto"/>
            <w:vAlign w:val="center"/>
          </w:tcPr>
          <w:p w:rsidR="00545670" w:rsidRPr="00545670" w:rsidRDefault="00545670" w:rsidP="00FA785D">
            <w:pPr>
              <w:jc w:val="center"/>
              <w:rPr>
                <w:rFonts w:eastAsia="標楷體"/>
              </w:rPr>
            </w:pPr>
          </w:p>
        </w:tc>
        <w:tc>
          <w:tcPr>
            <w:tcW w:w="1418" w:type="dxa"/>
            <w:shd w:val="clear" w:color="auto" w:fill="auto"/>
            <w:vAlign w:val="center"/>
          </w:tcPr>
          <w:p w:rsidR="00545670" w:rsidRPr="00545670" w:rsidRDefault="00545670" w:rsidP="00FA785D">
            <w:pPr>
              <w:jc w:val="center"/>
              <w:rPr>
                <w:rFonts w:eastAsia="標楷體"/>
              </w:rPr>
            </w:pPr>
            <w:r w:rsidRPr="00545670">
              <w:rPr>
                <w:rFonts w:eastAsia="標楷體" w:hint="eastAsia"/>
              </w:rPr>
              <w:t>第二次認購</w:t>
            </w:r>
          </w:p>
        </w:tc>
        <w:tc>
          <w:tcPr>
            <w:tcW w:w="1984" w:type="dxa"/>
            <w:shd w:val="clear" w:color="auto" w:fill="auto"/>
            <w:vAlign w:val="center"/>
          </w:tcPr>
          <w:p w:rsidR="00545670" w:rsidRPr="00545670" w:rsidRDefault="00545670">
            <w:pPr>
              <w:jc w:val="center"/>
              <w:rPr>
                <w:rFonts w:eastAsia="標楷體"/>
              </w:rPr>
            </w:pPr>
            <w:r w:rsidRPr="00545670">
              <w:rPr>
                <w:rFonts w:eastAsia="標楷體"/>
              </w:rPr>
              <w:t>55</w:t>
            </w:r>
            <w:r w:rsidRPr="00545670">
              <w:rPr>
                <w:rFonts w:eastAsia="標楷體" w:hint="eastAsia"/>
              </w:rPr>
              <w:t>元</w:t>
            </w:r>
          </w:p>
        </w:tc>
        <w:tc>
          <w:tcPr>
            <w:tcW w:w="1985" w:type="dxa"/>
            <w:shd w:val="clear" w:color="auto" w:fill="auto"/>
            <w:vAlign w:val="center"/>
          </w:tcPr>
          <w:p w:rsidR="00545670" w:rsidRPr="00545670" w:rsidRDefault="00545670" w:rsidP="00FA785D">
            <w:pPr>
              <w:jc w:val="center"/>
              <w:rPr>
                <w:rFonts w:eastAsia="標楷體"/>
                <w:u w:val="single"/>
              </w:rPr>
            </w:pPr>
            <w:r w:rsidRPr="00545670">
              <w:rPr>
                <w:rFonts w:eastAsia="標楷體"/>
              </w:rPr>
              <w:t>55</w:t>
            </w:r>
            <w:r w:rsidRPr="00545670">
              <w:rPr>
                <w:rFonts w:eastAsia="標楷體" w:hint="eastAsia"/>
              </w:rPr>
              <w:t>元</w:t>
            </w:r>
          </w:p>
        </w:tc>
        <w:tc>
          <w:tcPr>
            <w:tcW w:w="2410" w:type="dxa"/>
            <w:shd w:val="clear" w:color="auto" w:fill="auto"/>
            <w:vAlign w:val="center"/>
          </w:tcPr>
          <w:p w:rsidR="00545670" w:rsidRPr="00545670" w:rsidRDefault="00545670" w:rsidP="00FA785D">
            <w:pPr>
              <w:jc w:val="center"/>
              <w:rPr>
                <w:rFonts w:eastAsia="標楷體"/>
                <w:u w:val="single"/>
              </w:rPr>
            </w:pPr>
            <w:r w:rsidRPr="00545670">
              <w:rPr>
                <w:rFonts w:eastAsia="標楷體"/>
              </w:rPr>
              <w:t>55</w:t>
            </w:r>
            <w:r w:rsidRPr="00545670">
              <w:rPr>
                <w:rFonts w:eastAsia="標楷體" w:hint="eastAsia"/>
              </w:rPr>
              <w:t>元</w:t>
            </w:r>
          </w:p>
        </w:tc>
      </w:tr>
      <w:tr w:rsidR="00545670" w:rsidRPr="00545670" w:rsidTr="00832527">
        <w:tc>
          <w:tcPr>
            <w:tcW w:w="1701" w:type="dxa"/>
            <w:vMerge/>
            <w:shd w:val="clear" w:color="auto" w:fill="auto"/>
            <w:vAlign w:val="center"/>
          </w:tcPr>
          <w:p w:rsidR="00545670" w:rsidRPr="00545670" w:rsidRDefault="00545670" w:rsidP="00FA785D">
            <w:pPr>
              <w:jc w:val="center"/>
              <w:rPr>
                <w:rFonts w:eastAsia="標楷體"/>
              </w:rPr>
            </w:pPr>
          </w:p>
        </w:tc>
        <w:tc>
          <w:tcPr>
            <w:tcW w:w="1418" w:type="dxa"/>
            <w:shd w:val="clear" w:color="auto" w:fill="auto"/>
            <w:vAlign w:val="center"/>
          </w:tcPr>
          <w:p w:rsidR="00545670" w:rsidRPr="00545670" w:rsidRDefault="00545670" w:rsidP="00FA785D">
            <w:pPr>
              <w:jc w:val="center"/>
              <w:rPr>
                <w:rFonts w:eastAsia="標楷體"/>
              </w:rPr>
            </w:pPr>
            <w:r w:rsidRPr="00545670">
              <w:rPr>
                <w:rFonts w:eastAsia="標楷體" w:hint="eastAsia"/>
              </w:rPr>
              <w:t>平均</w:t>
            </w:r>
          </w:p>
        </w:tc>
        <w:tc>
          <w:tcPr>
            <w:tcW w:w="1984" w:type="dxa"/>
            <w:shd w:val="clear" w:color="auto" w:fill="auto"/>
            <w:vAlign w:val="center"/>
          </w:tcPr>
          <w:p w:rsidR="00545670" w:rsidRPr="00545670" w:rsidRDefault="00545670">
            <w:pPr>
              <w:jc w:val="center"/>
              <w:rPr>
                <w:rFonts w:eastAsia="標楷體"/>
              </w:rPr>
            </w:pPr>
            <w:r w:rsidRPr="00545670">
              <w:rPr>
                <w:rFonts w:eastAsia="標楷體"/>
              </w:rPr>
              <w:t>46.22</w:t>
            </w:r>
            <w:r w:rsidRPr="00545670">
              <w:rPr>
                <w:rFonts w:eastAsia="標楷體" w:hint="eastAsia"/>
              </w:rPr>
              <w:t>元</w:t>
            </w:r>
          </w:p>
        </w:tc>
        <w:tc>
          <w:tcPr>
            <w:tcW w:w="1985" w:type="dxa"/>
            <w:shd w:val="clear" w:color="auto" w:fill="auto"/>
            <w:vAlign w:val="center"/>
          </w:tcPr>
          <w:p w:rsidR="00545670" w:rsidRPr="00545670" w:rsidRDefault="00545670" w:rsidP="00FA785D">
            <w:pPr>
              <w:jc w:val="center"/>
              <w:rPr>
                <w:rFonts w:eastAsia="標楷體"/>
                <w:u w:val="single"/>
              </w:rPr>
            </w:pPr>
            <w:r w:rsidRPr="00545670">
              <w:rPr>
                <w:rFonts w:eastAsia="標楷體"/>
              </w:rPr>
              <w:t>55</w:t>
            </w:r>
            <w:r w:rsidRPr="00545670">
              <w:rPr>
                <w:rFonts w:eastAsia="標楷體" w:hint="eastAsia"/>
              </w:rPr>
              <w:t>元</w:t>
            </w:r>
          </w:p>
        </w:tc>
        <w:tc>
          <w:tcPr>
            <w:tcW w:w="2410" w:type="dxa"/>
            <w:shd w:val="clear" w:color="auto" w:fill="auto"/>
            <w:vAlign w:val="center"/>
          </w:tcPr>
          <w:p w:rsidR="00545670" w:rsidRPr="00545670" w:rsidRDefault="00545670" w:rsidP="00FA785D">
            <w:pPr>
              <w:jc w:val="center"/>
              <w:rPr>
                <w:rFonts w:eastAsia="標楷體"/>
                <w:u w:val="single"/>
              </w:rPr>
            </w:pPr>
            <w:r w:rsidRPr="00545670">
              <w:rPr>
                <w:rFonts w:eastAsia="標楷體"/>
              </w:rPr>
              <w:t>55</w:t>
            </w:r>
            <w:r w:rsidRPr="00545670">
              <w:rPr>
                <w:rFonts w:eastAsia="標楷體" w:hint="eastAsia"/>
              </w:rPr>
              <w:t>元</w:t>
            </w:r>
          </w:p>
        </w:tc>
      </w:tr>
      <w:tr w:rsidR="00545670" w:rsidRPr="003F2B3F" w:rsidTr="00832527">
        <w:tc>
          <w:tcPr>
            <w:tcW w:w="3119" w:type="dxa"/>
            <w:gridSpan w:val="2"/>
            <w:shd w:val="clear" w:color="auto" w:fill="auto"/>
            <w:vAlign w:val="center"/>
          </w:tcPr>
          <w:p w:rsidR="00545670" w:rsidRPr="0098430B" w:rsidRDefault="00545670" w:rsidP="008E5DC4">
            <w:pPr>
              <w:jc w:val="center"/>
              <w:rPr>
                <w:rFonts w:eastAsia="標楷體"/>
              </w:rPr>
            </w:pPr>
            <w:r w:rsidRPr="0098430B">
              <w:rPr>
                <w:rFonts w:eastAsia="標楷體"/>
              </w:rPr>
              <w:lastRenderedPageBreak/>
              <w:t>認購價格之訂定</w:t>
            </w:r>
          </w:p>
          <w:p w:rsidR="00545670" w:rsidRPr="0098430B" w:rsidRDefault="00545670" w:rsidP="008E5DC4">
            <w:pPr>
              <w:jc w:val="center"/>
              <w:rPr>
                <w:rFonts w:eastAsia="標楷體"/>
              </w:rPr>
            </w:pPr>
            <w:r w:rsidRPr="0098430B">
              <w:rPr>
                <w:rFonts w:eastAsia="標楷體"/>
              </w:rPr>
              <w:t>依據及方式</w:t>
            </w:r>
          </w:p>
        </w:tc>
        <w:tc>
          <w:tcPr>
            <w:tcW w:w="6379" w:type="dxa"/>
            <w:gridSpan w:val="3"/>
            <w:shd w:val="clear" w:color="auto" w:fill="auto"/>
            <w:vAlign w:val="center"/>
          </w:tcPr>
          <w:p w:rsidR="00545670" w:rsidRPr="0098430B" w:rsidRDefault="00545670" w:rsidP="006A4C29">
            <w:pPr>
              <w:ind w:leftChars="-4" w:left="-10" w:firstLineChars="205" w:firstLine="492"/>
              <w:jc w:val="both"/>
              <w:rPr>
                <w:rFonts w:eastAsia="標楷體"/>
              </w:rPr>
            </w:pPr>
            <w:r w:rsidRPr="0098430B">
              <w:rPr>
                <w:rFonts w:eastAsia="標楷體" w:hint="eastAsia"/>
              </w:rPr>
              <w:t>由於該公司之生物相似藥產品尚處開發階段，尚未產生大額營業收入而產生虧損，無本益比等數據評估公司獲利表現來預估股價之評價方式可參考，故以參考股價淨值比法作為台康公司提出股份由輔導推薦券商認購之依據，參酌目前上市</w:t>
            </w:r>
            <w:r w:rsidRPr="0098430B">
              <w:rPr>
                <w:rFonts w:eastAsia="標楷體" w:hint="eastAsia"/>
              </w:rPr>
              <w:t>(</w:t>
            </w:r>
            <w:r w:rsidRPr="0098430B">
              <w:rPr>
                <w:rFonts w:eastAsia="標楷體" w:hint="eastAsia"/>
              </w:rPr>
              <w:t>櫃</w:t>
            </w:r>
            <w:r w:rsidRPr="0098430B">
              <w:rPr>
                <w:rFonts w:eastAsia="標楷體" w:hint="eastAsia"/>
              </w:rPr>
              <w:t>)</w:t>
            </w:r>
            <w:proofErr w:type="gramStart"/>
            <w:r w:rsidRPr="0098430B">
              <w:rPr>
                <w:rFonts w:eastAsia="標楷體" w:hint="eastAsia"/>
              </w:rPr>
              <w:t>及興櫃同業</w:t>
            </w:r>
            <w:proofErr w:type="gramEnd"/>
            <w:r w:rsidRPr="0098430B">
              <w:rPr>
                <w:rFonts w:eastAsia="標楷體" w:hint="eastAsia"/>
              </w:rPr>
              <w:t>中主要產品及營運模式相近者為</w:t>
            </w:r>
            <w:proofErr w:type="gramStart"/>
            <w:r w:rsidRPr="0098430B">
              <w:rPr>
                <w:rFonts w:eastAsia="標楷體" w:hint="eastAsia"/>
              </w:rPr>
              <w:t>採</w:t>
            </w:r>
            <w:proofErr w:type="gramEnd"/>
            <w:r w:rsidRPr="0098430B">
              <w:rPr>
                <w:rFonts w:eastAsia="標楷體" w:hint="eastAsia"/>
              </w:rPr>
              <w:t>樣同業，</w:t>
            </w:r>
            <w:proofErr w:type="gramStart"/>
            <w:r w:rsidRPr="0098430B">
              <w:rPr>
                <w:rFonts w:eastAsia="標楷體" w:hint="eastAsia"/>
              </w:rPr>
              <w:t>包括喜康</w:t>
            </w:r>
            <w:proofErr w:type="gramEnd"/>
            <w:r w:rsidRPr="0098430B">
              <w:rPr>
                <w:rFonts w:eastAsia="標楷體"/>
              </w:rPr>
              <w:t>-KY(</w:t>
            </w:r>
            <w:proofErr w:type="gramStart"/>
            <w:r w:rsidRPr="0098430B">
              <w:rPr>
                <w:rFonts w:eastAsia="標楷體" w:hint="eastAsia"/>
              </w:rPr>
              <w:t>興櫃公司</w:t>
            </w:r>
            <w:proofErr w:type="gramEnd"/>
            <w:r w:rsidRPr="0098430B">
              <w:rPr>
                <w:rFonts w:eastAsia="標楷體" w:hint="eastAsia"/>
              </w:rPr>
              <w:t>，股票代號</w:t>
            </w:r>
            <w:r w:rsidRPr="0098430B">
              <w:rPr>
                <w:rFonts w:eastAsia="標楷體"/>
              </w:rPr>
              <w:t>6540)</w:t>
            </w:r>
            <w:r w:rsidRPr="0098430B">
              <w:rPr>
                <w:rFonts w:eastAsia="標楷體" w:hint="eastAsia"/>
              </w:rPr>
              <w:t>、泰福</w:t>
            </w:r>
            <w:r w:rsidRPr="0098430B">
              <w:rPr>
                <w:rFonts w:eastAsia="標楷體"/>
              </w:rPr>
              <w:t>-KY(</w:t>
            </w:r>
            <w:proofErr w:type="gramStart"/>
            <w:r w:rsidRPr="0098430B">
              <w:rPr>
                <w:rFonts w:eastAsia="標楷體" w:hint="eastAsia"/>
              </w:rPr>
              <w:t>興櫃公司</w:t>
            </w:r>
            <w:proofErr w:type="gramEnd"/>
            <w:r w:rsidRPr="0098430B">
              <w:rPr>
                <w:rFonts w:eastAsia="標楷體" w:hint="eastAsia"/>
              </w:rPr>
              <w:t>，股票代號</w:t>
            </w:r>
            <w:r w:rsidRPr="0098430B">
              <w:rPr>
                <w:rFonts w:eastAsia="標楷體"/>
              </w:rPr>
              <w:t>6541)</w:t>
            </w:r>
            <w:r w:rsidRPr="0098430B">
              <w:rPr>
                <w:rFonts w:eastAsia="標楷體" w:hint="eastAsia"/>
              </w:rPr>
              <w:t>及永</w:t>
            </w:r>
            <w:proofErr w:type="gramStart"/>
            <w:r w:rsidRPr="0098430B">
              <w:rPr>
                <w:rFonts w:eastAsia="標楷體" w:hint="eastAsia"/>
              </w:rPr>
              <w:t>昕</w:t>
            </w:r>
            <w:proofErr w:type="gramEnd"/>
            <w:r w:rsidRPr="0098430B">
              <w:rPr>
                <w:rFonts w:eastAsia="標楷體"/>
              </w:rPr>
              <w:t>(</w:t>
            </w:r>
            <w:r w:rsidRPr="0098430B">
              <w:rPr>
                <w:rFonts w:eastAsia="標楷體" w:hint="eastAsia"/>
              </w:rPr>
              <w:t>上櫃公司，股票代號</w:t>
            </w:r>
            <w:r w:rsidRPr="0098430B">
              <w:rPr>
                <w:rFonts w:eastAsia="標楷體"/>
              </w:rPr>
              <w:t>4726)</w:t>
            </w:r>
            <w:r w:rsidRPr="0098430B">
              <w:rPr>
                <w:rFonts w:eastAsia="標楷體" w:hint="eastAsia"/>
              </w:rPr>
              <w:t>，以及上市櫃生技醫療類股之股價淨值比作為訂價之依據，主辦輔導推薦證券商第一次股票認購價格為</w:t>
            </w:r>
            <w:r w:rsidRPr="0098430B">
              <w:rPr>
                <w:rFonts w:eastAsia="標楷體" w:hint="eastAsia"/>
              </w:rPr>
              <w:t>45</w:t>
            </w:r>
            <w:r w:rsidRPr="0098430B">
              <w:rPr>
                <w:rFonts w:eastAsia="標楷體" w:hint="eastAsia"/>
              </w:rPr>
              <w:t>元；第二次主辦與協辦輔導推薦證券商股票認購價格為</w:t>
            </w:r>
            <w:r w:rsidRPr="0098430B">
              <w:rPr>
                <w:rFonts w:eastAsia="標楷體" w:hint="eastAsia"/>
              </w:rPr>
              <w:t>55</w:t>
            </w:r>
            <w:r w:rsidRPr="0098430B">
              <w:rPr>
                <w:rFonts w:eastAsia="標楷體" w:hint="eastAsia"/>
              </w:rPr>
              <w:t>元，茲就兩次認購價格之訂定依據及方式說明如下：</w:t>
            </w:r>
          </w:p>
          <w:p w:rsidR="00545670" w:rsidRPr="0098430B" w:rsidRDefault="00545670" w:rsidP="006A4C29">
            <w:pPr>
              <w:jc w:val="both"/>
              <w:rPr>
                <w:rFonts w:eastAsia="標楷體"/>
              </w:rPr>
            </w:pPr>
            <w:r w:rsidRPr="0098430B">
              <w:rPr>
                <w:rFonts w:eastAsia="標楷體" w:hint="eastAsia"/>
              </w:rPr>
              <w:t>一、第一次認購股票價格之訂定依據及方式茲評估說明如下：</w:t>
            </w:r>
          </w:p>
          <w:p w:rsidR="00545670" w:rsidRPr="0098430B" w:rsidRDefault="00545670" w:rsidP="006A4C29">
            <w:pPr>
              <w:spacing w:line="240" w:lineRule="exact"/>
              <w:ind w:leftChars="-4" w:left="-10" w:firstLineChars="205" w:firstLine="492"/>
              <w:jc w:val="right"/>
              <w:rPr>
                <w:rFonts w:eastAsia="標楷體"/>
              </w:rPr>
            </w:pPr>
            <w:r w:rsidRPr="0098430B">
              <w:rPr>
                <w:rFonts w:eastAsia="標楷體" w:hint="eastAsia"/>
              </w:rPr>
              <w:t>單位：倍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1348"/>
              <w:gridCol w:w="1348"/>
              <w:gridCol w:w="1348"/>
            </w:tblGrid>
            <w:tr w:rsidR="00545670" w:rsidRPr="0098430B" w:rsidTr="00386F23">
              <w:tc>
                <w:tcPr>
                  <w:tcW w:w="1715" w:type="pct"/>
                  <w:shd w:val="clear" w:color="auto" w:fill="auto"/>
                  <w:vAlign w:val="center"/>
                </w:tcPr>
                <w:p w:rsidR="00545670" w:rsidRPr="0098430B" w:rsidRDefault="00545670" w:rsidP="00386F23">
                  <w:pPr>
                    <w:spacing w:line="300" w:lineRule="exact"/>
                    <w:jc w:val="center"/>
                    <w:rPr>
                      <w:rFonts w:eastAsia="標楷體"/>
                    </w:rPr>
                  </w:pP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10</w:t>
                  </w:r>
                  <w:r w:rsidRPr="0098430B">
                    <w:rPr>
                      <w:rFonts w:eastAsia="標楷體" w:hint="eastAsia"/>
                      <w:sz w:val="22"/>
                    </w:rPr>
                    <w:t>5</w:t>
                  </w:r>
                  <w:r w:rsidRPr="0098430B">
                    <w:rPr>
                      <w:rFonts w:eastAsia="標楷體"/>
                      <w:sz w:val="22"/>
                    </w:rPr>
                    <w:t>年</w:t>
                  </w:r>
                  <w:r w:rsidRPr="0098430B">
                    <w:rPr>
                      <w:rFonts w:eastAsia="標楷體" w:hint="eastAsia"/>
                      <w:sz w:val="22"/>
                    </w:rPr>
                    <w:t>6</w:t>
                  </w:r>
                  <w:r w:rsidRPr="0098430B">
                    <w:rPr>
                      <w:rFonts w:eastAsia="標楷體"/>
                      <w:sz w:val="22"/>
                    </w:rPr>
                    <w:t>月</w:t>
                  </w:r>
                </w:p>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平均</w:t>
                  </w: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10</w:t>
                  </w:r>
                  <w:r w:rsidRPr="0098430B">
                    <w:rPr>
                      <w:rFonts w:eastAsia="標楷體" w:hint="eastAsia"/>
                      <w:sz w:val="22"/>
                    </w:rPr>
                    <w:t>5</w:t>
                  </w:r>
                  <w:r w:rsidRPr="0098430B">
                    <w:rPr>
                      <w:rFonts w:eastAsia="標楷體"/>
                      <w:sz w:val="22"/>
                    </w:rPr>
                    <w:t>年</w:t>
                  </w:r>
                  <w:r w:rsidRPr="0098430B">
                    <w:rPr>
                      <w:rFonts w:eastAsia="標楷體" w:hint="eastAsia"/>
                      <w:sz w:val="22"/>
                    </w:rPr>
                    <w:t>7</w:t>
                  </w:r>
                  <w:r w:rsidRPr="0098430B">
                    <w:rPr>
                      <w:rFonts w:eastAsia="標楷體"/>
                      <w:sz w:val="22"/>
                    </w:rPr>
                    <w:t>月</w:t>
                  </w:r>
                </w:p>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平均</w:t>
                  </w: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10</w:t>
                  </w:r>
                  <w:r w:rsidRPr="0098430B">
                    <w:rPr>
                      <w:rFonts w:eastAsia="標楷體" w:hint="eastAsia"/>
                      <w:sz w:val="22"/>
                    </w:rPr>
                    <w:t>5</w:t>
                  </w:r>
                  <w:r w:rsidRPr="0098430B">
                    <w:rPr>
                      <w:rFonts w:eastAsia="標楷體"/>
                      <w:sz w:val="22"/>
                    </w:rPr>
                    <w:t>年</w:t>
                  </w:r>
                  <w:r w:rsidRPr="0098430B">
                    <w:rPr>
                      <w:rFonts w:eastAsia="標楷體" w:hint="eastAsia"/>
                      <w:sz w:val="22"/>
                    </w:rPr>
                    <w:t>8</w:t>
                  </w:r>
                  <w:r w:rsidRPr="0098430B">
                    <w:rPr>
                      <w:rFonts w:eastAsia="標楷體"/>
                      <w:sz w:val="22"/>
                    </w:rPr>
                    <w:t>月</w:t>
                  </w:r>
                </w:p>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平均</w:t>
                  </w:r>
                </w:p>
              </w:tc>
            </w:tr>
            <w:tr w:rsidR="00545670" w:rsidRPr="0098430B" w:rsidTr="00386F23">
              <w:tc>
                <w:tcPr>
                  <w:tcW w:w="1715" w:type="pct"/>
                  <w:shd w:val="clear" w:color="auto" w:fill="auto"/>
                  <w:vAlign w:val="center"/>
                </w:tcPr>
                <w:p w:rsidR="00545670" w:rsidRPr="0098430B" w:rsidRDefault="00545670" w:rsidP="00815264">
                  <w:pPr>
                    <w:spacing w:line="300" w:lineRule="exact"/>
                    <w:rPr>
                      <w:rFonts w:eastAsia="標楷體"/>
                    </w:rPr>
                  </w:pPr>
                  <w:proofErr w:type="gramStart"/>
                  <w:r w:rsidRPr="0098430B">
                    <w:rPr>
                      <w:rFonts w:eastAsia="標楷體" w:hint="eastAsia"/>
                    </w:rPr>
                    <w:t>喜康</w:t>
                  </w:r>
                  <w:proofErr w:type="gramEnd"/>
                  <w:r w:rsidRPr="0098430B">
                    <w:rPr>
                      <w:rFonts w:eastAsia="標楷體"/>
                    </w:rPr>
                    <w:t>-KY(6540)</w:t>
                  </w: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hint="eastAsia"/>
                    </w:rPr>
                    <w:t>5.32</w:t>
                  </w: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hint="eastAsia"/>
                    </w:rPr>
                    <w:t>4.60</w:t>
                  </w: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hint="eastAsia"/>
                    </w:rPr>
                    <w:t>4.38</w:t>
                  </w:r>
                </w:p>
              </w:tc>
            </w:tr>
            <w:tr w:rsidR="00545670" w:rsidRPr="0098430B" w:rsidTr="002E0E42">
              <w:tc>
                <w:tcPr>
                  <w:tcW w:w="1715" w:type="pct"/>
                  <w:shd w:val="clear" w:color="auto" w:fill="auto"/>
                  <w:vAlign w:val="center"/>
                </w:tcPr>
                <w:p w:rsidR="00545670" w:rsidRPr="0098430B" w:rsidRDefault="00545670" w:rsidP="00386F23">
                  <w:pPr>
                    <w:spacing w:line="300" w:lineRule="exact"/>
                    <w:rPr>
                      <w:rFonts w:eastAsia="標楷體"/>
                    </w:rPr>
                  </w:pPr>
                  <w:r w:rsidRPr="0098430B">
                    <w:rPr>
                      <w:rFonts w:eastAsia="標楷體" w:hint="eastAsia"/>
                    </w:rPr>
                    <w:t>泰福</w:t>
                  </w:r>
                  <w:r w:rsidRPr="0098430B">
                    <w:rPr>
                      <w:rFonts w:eastAsia="標楷體"/>
                    </w:rPr>
                    <w:t>-KY(6541)</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6.64</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7.59</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7.56</w:t>
                  </w:r>
                </w:p>
              </w:tc>
            </w:tr>
            <w:tr w:rsidR="00545670" w:rsidRPr="0098430B" w:rsidTr="002E0E42">
              <w:tc>
                <w:tcPr>
                  <w:tcW w:w="1715" w:type="pct"/>
                  <w:shd w:val="clear" w:color="auto" w:fill="auto"/>
                  <w:vAlign w:val="center"/>
                </w:tcPr>
                <w:p w:rsidR="00545670" w:rsidRPr="0098430B" w:rsidRDefault="00545670" w:rsidP="00386F23">
                  <w:pPr>
                    <w:spacing w:line="300" w:lineRule="exact"/>
                    <w:rPr>
                      <w:rFonts w:eastAsia="標楷體"/>
                    </w:rPr>
                  </w:pPr>
                  <w:r w:rsidRPr="0098430B">
                    <w:rPr>
                      <w:rFonts w:eastAsia="標楷體" w:hint="eastAsia"/>
                    </w:rPr>
                    <w:t>永</w:t>
                  </w:r>
                  <w:proofErr w:type="gramStart"/>
                  <w:r w:rsidRPr="0098430B">
                    <w:rPr>
                      <w:rFonts w:eastAsia="標楷體" w:hint="eastAsia"/>
                    </w:rPr>
                    <w:t>昕</w:t>
                  </w:r>
                  <w:proofErr w:type="gramEnd"/>
                  <w:r w:rsidRPr="0098430B">
                    <w:rPr>
                      <w:rFonts w:eastAsia="標楷體" w:hint="eastAsia"/>
                    </w:rPr>
                    <w:t>(4726)</w:t>
                  </w:r>
                </w:p>
              </w:tc>
              <w:tc>
                <w:tcPr>
                  <w:tcW w:w="1095" w:type="pct"/>
                  <w:shd w:val="clear" w:color="auto" w:fill="auto"/>
                  <w:vAlign w:val="bottom"/>
                </w:tcPr>
                <w:p w:rsidR="00545670" w:rsidRPr="0098430B" w:rsidRDefault="00545670" w:rsidP="00386F23">
                  <w:pPr>
                    <w:spacing w:line="300" w:lineRule="exact"/>
                    <w:jc w:val="center"/>
                    <w:rPr>
                      <w:rFonts w:eastAsia="標楷體"/>
                    </w:rPr>
                  </w:pPr>
                  <w:r w:rsidRPr="0098430B">
                    <w:rPr>
                      <w:rFonts w:eastAsia="標楷體" w:hint="eastAsia"/>
                    </w:rPr>
                    <w:t>4.15</w:t>
                  </w:r>
                </w:p>
              </w:tc>
              <w:tc>
                <w:tcPr>
                  <w:tcW w:w="1095" w:type="pct"/>
                  <w:shd w:val="clear" w:color="auto" w:fill="auto"/>
                  <w:vAlign w:val="bottom"/>
                </w:tcPr>
                <w:p w:rsidR="00545670" w:rsidRPr="0098430B" w:rsidRDefault="00545670" w:rsidP="00386F23">
                  <w:pPr>
                    <w:spacing w:line="300" w:lineRule="exact"/>
                    <w:jc w:val="center"/>
                    <w:rPr>
                      <w:rFonts w:eastAsia="標楷體"/>
                    </w:rPr>
                  </w:pPr>
                  <w:r w:rsidRPr="0098430B">
                    <w:rPr>
                      <w:rFonts w:eastAsia="標楷體" w:hint="eastAsia"/>
                    </w:rPr>
                    <w:t>3.95</w:t>
                  </w:r>
                </w:p>
              </w:tc>
              <w:tc>
                <w:tcPr>
                  <w:tcW w:w="1095" w:type="pct"/>
                  <w:shd w:val="clear" w:color="auto" w:fill="auto"/>
                  <w:vAlign w:val="bottom"/>
                </w:tcPr>
                <w:p w:rsidR="00545670" w:rsidRPr="0098430B" w:rsidRDefault="00545670" w:rsidP="00386F23">
                  <w:pPr>
                    <w:spacing w:line="300" w:lineRule="exact"/>
                    <w:jc w:val="center"/>
                    <w:rPr>
                      <w:rFonts w:eastAsia="標楷體"/>
                    </w:rPr>
                  </w:pPr>
                  <w:r w:rsidRPr="0098430B">
                    <w:rPr>
                      <w:rFonts w:eastAsia="標楷體" w:hint="eastAsia"/>
                    </w:rPr>
                    <w:t>3.53</w:t>
                  </w:r>
                </w:p>
              </w:tc>
            </w:tr>
            <w:tr w:rsidR="00545670" w:rsidRPr="0098430B" w:rsidTr="00386F23">
              <w:tc>
                <w:tcPr>
                  <w:tcW w:w="1715" w:type="pct"/>
                  <w:shd w:val="clear" w:color="auto" w:fill="auto"/>
                  <w:vAlign w:val="center"/>
                </w:tcPr>
                <w:p w:rsidR="00545670" w:rsidRPr="0098430B" w:rsidRDefault="00545670" w:rsidP="00386F23">
                  <w:pPr>
                    <w:spacing w:line="300" w:lineRule="exact"/>
                    <w:rPr>
                      <w:rFonts w:eastAsia="標楷體"/>
                    </w:rPr>
                  </w:pPr>
                  <w:r w:rsidRPr="0098430B">
                    <w:rPr>
                      <w:rFonts w:eastAsia="標楷體"/>
                    </w:rPr>
                    <w:t>上櫃生技醫療類</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3.93</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4.20</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3.99</w:t>
                  </w:r>
                </w:p>
              </w:tc>
            </w:tr>
            <w:tr w:rsidR="00545670" w:rsidRPr="0098430B" w:rsidTr="00386F23">
              <w:tc>
                <w:tcPr>
                  <w:tcW w:w="1715" w:type="pct"/>
                  <w:shd w:val="clear" w:color="auto" w:fill="auto"/>
                  <w:vAlign w:val="center"/>
                </w:tcPr>
                <w:p w:rsidR="00545670" w:rsidRPr="0098430B" w:rsidRDefault="00545670" w:rsidP="00386F23">
                  <w:pPr>
                    <w:spacing w:line="300" w:lineRule="exact"/>
                    <w:rPr>
                      <w:rFonts w:eastAsia="標楷體"/>
                    </w:rPr>
                  </w:pPr>
                  <w:r w:rsidRPr="0098430B">
                    <w:rPr>
                      <w:rFonts w:eastAsia="標楷體"/>
                    </w:rPr>
                    <w:t>上市生技醫療類</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2.28</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2.34</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2.41</w:t>
                  </w:r>
                </w:p>
              </w:tc>
            </w:tr>
          </w:tbl>
          <w:p w:rsidR="00545670" w:rsidRPr="0098430B" w:rsidRDefault="00545670" w:rsidP="006A4C29">
            <w:pPr>
              <w:spacing w:line="240" w:lineRule="exact"/>
              <w:jc w:val="both"/>
              <w:rPr>
                <w:rFonts w:eastAsia="標楷體"/>
                <w:sz w:val="20"/>
                <w:szCs w:val="20"/>
              </w:rPr>
            </w:pPr>
            <w:r w:rsidRPr="0098430B">
              <w:rPr>
                <w:rFonts w:eastAsia="標楷體" w:hint="eastAsia"/>
                <w:sz w:val="20"/>
                <w:szCs w:val="20"/>
              </w:rPr>
              <w:t>資料來源：證券櫃檯買賣中心網站及證券交易所網站資料。</w:t>
            </w:r>
          </w:p>
          <w:p w:rsidR="00545670" w:rsidRPr="0098430B" w:rsidRDefault="00545670" w:rsidP="006A4C29">
            <w:pPr>
              <w:spacing w:beforeLines="50" w:before="180"/>
              <w:ind w:leftChars="-4" w:left="-10" w:firstLineChars="205" w:firstLine="492"/>
              <w:jc w:val="both"/>
              <w:rPr>
                <w:rFonts w:eastAsia="標楷體"/>
              </w:rPr>
            </w:pPr>
            <w:r w:rsidRPr="0098430B">
              <w:rPr>
                <w:rFonts w:eastAsia="標楷體" w:hint="eastAsia"/>
              </w:rPr>
              <w:t>由上表可知，台康公司之上市櫃</w:t>
            </w:r>
            <w:r w:rsidRPr="0098430B">
              <w:rPr>
                <w:rFonts w:eastAsia="標楷體"/>
              </w:rPr>
              <w:t>(</w:t>
            </w:r>
            <w:proofErr w:type="gramStart"/>
            <w:r w:rsidRPr="0098430B">
              <w:rPr>
                <w:rFonts w:eastAsia="標楷體" w:hint="eastAsia"/>
              </w:rPr>
              <w:t>興櫃</w:t>
            </w:r>
            <w:r w:rsidRPr="0098430B">
              <w:rPr>
                <w:rFonts w:eastAsia="標楷體"/>
              </w:rPr>
              <w:t>)</w:t>
            </w:r>
            <w:r w:rsidRPr="0098430B">
              <w:rPr>
                <w:rFonts w:eastAsia="標楷體" w:hint="eastAsia"/>
              </w:rPr>
              <w:t>採</w:t>
            </w:r>
            <w:proofErr w:type="gramEnd"/>
            <w:r w:rsidRPr="0098430B">
              <w:rPr>
                <w:rFonts w:eastAsia="標楷體" w:hint="eastAsia"/>
              </w:rPr>
              <w:t>樣同業及上市櫃生技醫療類股</w:t>
            </w:r>
            <w:r w:rsidRPr="0098430B">
              <w:rPr>
                <w:rFonts w:eastAsia="標楷體"/>
              </w:rPr>
              <w:t>105</w:t>
            </w:r>
            <w:r w:rsidRPr="0098430B">
              <w:rPr>
                <w:rFonts w:eastAsia="標楷體" w:hint="eastAsia"/>
              </w:rPr>
              <w:t>年</w:t>
            </w:r>
            <w:r w:rsidRPr="0098430B">
              <w:rPr>
                <w:rFonts w:eastAsia="標楷體"/>
              </w:rPr>
              <w:t>6</w:t>
            </w:r>
            <w:r w:rsidRPr="0098430B">
              <w:rPr>
                <w:rFonts w:eastAsia="標楷體" w:hint="eastAsia"/>
              </w:rPr>
              <w:t>月份至</w:t>
            </w:r>
            <w:r w:rsidRPr="0098430B">
              <w:rPr>
                <w:rFonts w:eastAsia="標楷體"/>
              </w:rPr>
              <w:t>105</w:t>
            </w:r>
            <w:r w:rsidRPr="0098430B">
              <w:rPr>
                <w:rFonts w:eastAsia="標楷體" w:hint="eastAsia"/>
              </w:rPr>
              <w:t>年</w:t>
            </w:r>
            <w:r w:rsidRPr="0098430B">
              <w:rPr>
                <w:rFonts w:eastAsia="標楷體"/>
              </w:rPr>
              <w:t>8</w:t>
            </w:r>
            <w:r w:rsidRPr="0098430B">
              <w:rPr>
                <w:rFonts w:eastAsia="標楷體" w:hint="eastAsia"/>
              </w:rPr>
              <w:t>月份平均股價淨值比在</w:t>
            </w:r>
            <w:r w:rsidRPr="0098430B">
              <w:rPr>
                <w:rFonts w:eastAsia="標楷體"/>
              </w:rPr>
              <w:t>2.28~5.32</w:t>
            </w:r>
            <w:r w:rsidRPr="0098430B">
              <w:rPr>
                <w:rFonts w:eastAsia="標楷體" w:hint="eastAsia"/>
              </w:rPr>
              <w:t>倍</w:t>
            </w:r>
            <w:proofErr w:type="gramStart"/>
            <w:r w:rsidRPr="0098430B">
              <w:rPr>
                <w:rFonts w:eastAsia="標楷體" w:hint="eastAsia"/>
              </w:rPr>
              <w:t>之間</w:t>
            </w:r>
            <w:r w:rsidRPr="0098430B">
              <w:rPr>
                <w:rFonts w:eastAsia="標楷體"/>
              </w:rPr>
              <w:t>(</w:t>
            </w:r>
            <w:proofErr w:type="gramEnd"/>
            <w:r w:rsidRPr="0098430B">
              <w:rPr>
                <w:rFonts w:eastAsia="標楷體" w:hint="eastAsia"/>
              </w:rPr>
              <w:t>排除異常極端值</w:t>
            </w:r>
            <w:r w:rsidRPr="0098430B">
              <w:rPr>
                <w:rFonts w:eastAsia="標楷體"/>
              </w:rPr>
              <w:t>)</w:t>
            </w:r>
            <w:r w:rsidRPr="0098430B">
              <w:rPr>
                <w:rFonts w:eastAsia="標楷體" w:hint="eastAsia"/>
              </w:rPr>
              <w:t>，該公司</w:t>
            </w:r>
            <w:r w:rsidRPr="0098430B">
              <w:rPr>
                <w:rFonts w:eastAsia="標楷體"/>
              </w:rPr>
              <w:t>105</w:t>
            </w:r>
            <w:r w:rsidRPr="0098430B">
              <w:rPr>
                <w:rFonts w:eastAsia="標楷體" w:hint="eastAsia"/>
              </w:rPr>
              <w:t>年第二季財務報表所列示之每股淨值為</w:t>
            </w:r>
            <w:r w:rsidRPr="0098430B">
              <w:rPr>
                <w:rFonts w:eastAsia="標楷體"/>
              </w:rPr>
              <w:t>13.56</w:t>
            </w:r>
            <w:r w:rsidRPr="0098430B">
              <w:rPr>
                <w:rFonts w:eastAsia="標楷體" w:hint="eastAsia"/>
              </w:rPr>
              <w:t>元，如以議定認購價格</w:t>
            </w:r>
            <w:r w:rsidRPr="0098430B">
              <w:rPr>
                <w:rFonts w:eastAsia="標楷體"/>
              </w:rPr>
              <w:t>45</w:t>
            </w:r>
            <w:r w:rsidRPr="0098430B">
              <w:rPr>
                <w:rFonts w:eastAsia="標楷體" w:hint="eastAsia"/>
              </w:rPr>
              <w:t>元設算，股價淨值比為</w:t>
            </w:r>
            <w:r w:rsidRPr="0098430B">
              <w:rPr>
                <w:rFonts w:eastAsia="標楷體"/>
              </w:rPr>
              <w:t>3.32</w:t>
            </w:r>
            <w:r w:rsidRPr="0098430B">
              <w:rPr>
                <w:rFonts w:eastAsia="標楷體" w:hint="eastAsia"/>
              </w:rPr>
              <w:t>倍，介於上市櫃</w:t>
            </w:r>
            <w:r w:rsidRPr="0098430B">
              <w:rPr>
                <w:rFonts w:eastAsia="標楷體"/>
              </w:rPr>
              <w:t>(</w:t>
            </w:r>
            <w:proofErr w:type="gramStart"/>
            <w:r w:rsidRPr="0098430B">
              <w:rPr>
                <w:rFonts w:eastAsia="標楷體" w:hint="eastAsia"/>
              </w:rPr>
              <w:t>興櫃</w:t>
            </w:r>
            <w:r w:rsidRPr="0098430B">
              <w:rPr>
                <w:rFonts w:eastAsia="標楷體"/>
              </w:rPr>
              <w:t>)</w:t>
            </w:r>
            <w:r w:rsidRPr="0098430B">
              <w:rPr>
                <w:rFonts w:eastAsia="標楷體" w:hint="eastAsia"/>
              </w:rPr>
              <w:t>採</w:t>
            </w:r>
            <w:proofErr w:type="gramEnd"/>
            <w:r w:rsidRPr="0098430B">
              <w:rPr>
                <w:rFonts w:eastAsia="標楷體" w:hint="eastAsia"/>
              </w:rPr>
              <w:t>樣同業及上市櫃生技醫療類股之平均股價淨值比區間。</w:t>
            </w:r>
          </w:p>
          <w:p w:rsidR="00545670" w:rsidRPr="0098430B" w:rsidRDefault="00545670" w:rsidP="006A4C29">
            <w:pPr>
              <w:ind w:leftChars="-4" w:left="-10" w:firstLineChars="205" w:firstLine="492"/>
              <w:jc w:val="both"/>
              <w:rPr>
                <w:rFonts w:eastAsia="標楷體"/>
              </w:rPr>
            </w:pPr>
            <w:r w:rsidRPr="0098430B">
              <w:rPr>
                <w:rFonts w:eastAsia="標楷體" w:hint="eastAsia"/>
              </w:rPr>
              <w:t>本</w:t>
            </w:r>
            <w:proofErr w:type="gramStart"/>
            <w:r w:rsidRPr="0098430B">
              <w:rPr>
                <w:rFonts w:eastAsia="標楷體" w:hint="eastAsia"/>
              </w:rPr>
              <w:t>次興櫃</w:t>
            </w:r>
            <w:proofErr w:type="gramEnd"/>
            <w:r w:rsidRPr="0098430B">
              <w:rPr>
                <w:rFonts w:eastAsia="標楷體" w:hint="eastAsia"/>
              </w:rPr>
              <w:t>認購價格之訂定除參酌國際慣用之評價方法計算該公司之合理價格，並考量該公司產業前景、產品開發階段、經營績效、發行市場環境等因素外，亦參酌已上市櫃</w:t>
            </w:r>
            <w:r w:rsidRPr="0098430B">
              <w:rPr>
                <w:rFonts w:eastAsia="標楷體"/>
              </w:rPr>
              <w:t>(</w:t>
            </w:r>
            <w:proofErr w:type="gramStart"/>
            <w:r w:rsidRPr="0098430B">
              <w:rPr>
                <w:rFonts w:eastAsia="標楷體" w:hint="eastAsia"/>
              </w:rPr>
              <w:t>興櫃</w:t>
            </w:r>
            <w:r w:rsidRPr="0098430B">
              <w:rPr>
                <w:rFonts w:eastAsia="標楷體"/>
              </w:rPr>
              <w:t>)</w:t>
            </w:r>
            <w:proofErr w:type="gramEnd"/>
            <w:r w:rsidRPr="0098430B">
              <w:rPr>
                <w:rFonts w:eastAsia="標楷體" w:hint="eastAsia"/>
              </w:rPr>
              <w:t>同業之市場狀況以及流通性風險後，由主辦推薦證券商與該公司共同議定認購價格為每股</w:t>
            </w:r>
            <w:r w:rsidRPr="0098430B">
              <w:rPr>
                <w:rFonts w:eastAsia="標楷體" w:hint="eastAsia"/>
              </w:rPr>
              <w:t>45</w:t>
            </w:r>
            <w:r w:rsidRPr="0098430B">
              <w:rPr>
                <w:rFonts w:eastAsia="標楷體" w:hint="eastAsia"/>
              </w:rPr>
              <w:t>元，尚屬合理。</w:t>
            </w:r>
          </w:p>
          <w:p w:rsidR="00545670" w:rsidRPr="0098430B" w:rsidRDefault="00545670" w:rsidP="006A4C29">
            <w:pPr>
              <w:jc w:val="both"/>
              <w:rPr>
                <w:rFonts w:ascii="標楷體" w:eastAsia="標楷體" w:hAnsi="標楷體"/>
                <w:kern w:val="24"/>
              </w:rPr>
            </w:pPr>
            <w:r w:rsidRPr="0098430B">
              <w:rPr>
                <w:rFonts w:ascii="標楷體" w:eastAsia="標楷體" w:hAnsi="標楷體" w:hint="eastAsia"/>
                <w:kern w:val="24"/>
              </w:rPr>
              <w:t>二、第二次</w:t>
            </w:r>
            <w:r w:rsidRPr="0098430B">
              <w:rPr>
                <w:rFonts w:ascii="標楷體" w:eastAsia="標楷體" w:hAnsi="標楷體"/>
                <w:kern w:val="24"/>
              </w:rPr>
              <w:t>認購</w:t>
            </w:r>
            <w:r w:rsidRPr="0098430B">
              <w:rPr>
                <w:rFonts w:ascii="標楷體" w:eastAsia="標楷體" w:hAnsi="標楷體" w:hint="eastAsia"/>
                <w:kern w:val="24"/>
              </w:rPr>
              <w:t>股票價格</w:t>
            </w:r>
            <w:r w:rsidRPr="0098430B">
              <w:rPr>
                <w:rFonts w:ascii="標楷體" w:eastAsia="標楷體" w:hAnsi="標楷體"/>
                <w:kern w:val="24"/>
              </w:rPr>
              <w:t>之訂定依據及方式</w:t>
            </w:r>
          </w:p>
          <w:p w:rsidR="00545670" w:rsidRPr="0098430B" w:rsidRDefault="00545670" w:rsidP="006A4C29">
            <w:pPr>
              <w:spacing w:line="240" w:lineRule="exact"/>
              <w:ind w:leftChars="-4" w:left="-10" w:firstLineChars="205" w:firstLine="492"/>
              <w:jc w:val="right"/>
              <w:rPr>
                <w:rFonts w:eastAsia="標楷體"/>
              </w:rPr>
            </w:pPr>
            <w:r w:rsidRPr="0098430B">
              <w:rPr>
                <w:rFonts w:eastAsia="標楷體" w:hint="eastAsia"/>
              </w:rPr>
              <w:t>單位：倍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1348"/>
              <w:gridCol w:w="1348"/>
              <w:gridCol w:w="1348"/>
            </w:tblGrid>
            <w:tr w:rsidR="00545670" w:rsidRPr="0098430B" w:rsidTr="00386F23">
              <w:tc>
                <w:tcPr>
                  <w:tcW w:w="1715" w:type="pct"/>
                  <w:shd w:val="clear" w:color="auto" w:fill="auto"/>
                  <w:vAlign w:val="center"/>
                </w:tcPr>
                <w:p w:rsidR="00545670" w:rsidRPr="0098430B" w:rsidRDefault="00545670" w:rsidP="00386F23">
                  <w:pPr>
                    <w:spacing w:line="300" w:lineRule="exact"/>
                    <w:jc w:val="center"/>
                    <w:rPr>
                      <w:rFonts w:eastAsia="標楷體"/>
                    </w:rPr>
                  </w:pP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10</w:t>
                  </w:r>
                  <w:r w:rsidRPr="0098430B">
                    <w:rPr>
                      <w:rFonts w:eastAsia="標楷體" w:hint="eastAsia"/>
                      <w:sz w:val="22"/>
                    </w:rPr>
                    <w:t>5</w:t>
                  </w:r>
                  <w:r w:rsidRPr="0098430B">
                    <w:rPr>
                      <w:rFonts w:eastAsia="標楷體"/>
                      <w:sz w:val="22"/>
                    </w:rPr>
                    <w:t>年</w:t>
                  </w:r>
                  <w:r w:rsidRPr="0098430B">
                    <w:rPr>
                      <w:rFonts w:eastAsia="標楷體" w:hint="eastAsia"/>
                      <w:sz w:val="22"/>
                    </w:rPr>
                    <w:t>8</w:t>
                  </w:r>
                  <w:r w:rsidRPr="0098430B">
                    <w:rPr>
                      <w:rFonts w:eastAsia="標楷體"/>
                      <w:sz w:val="22"/>
                    </w:rPr>
                    <w:t>月</w:t>
                  </w:r>
                </w:p>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平均</w:t>
                  </w: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10</w:t>
                  </w:r>
                  <w:r w:rsidRPr="0098430B">
                    <w:rPr>
                      <w:rFonts w:eastAsia="標楷體" w:hint="eastAsia"/>
                      <w:sz w:val="22"/>
                    </w:rPr>
                    <w:t>5</w:t>
                  </w:r>
                  <w:r w:rsidRPr="0098430B">
                    <w:rPr>
                      <w:rFonts w:eastAsia="標楷體"/>
                      <w:sz w:val="22"/>
                    </w:rPr>
                    <w:t>年</w:t>
                  </w:r>
                  <w:r w:rsidRPr="0098430B">
                    <w:rPr>
                      <w:rFonts w:eastAsia="標楷體" w:hint="eastAsia"/>
                      <w:sz w:val="22"/>
                    </w:rPr>
                    <w:t>9</w:t>
                  </w:r>
                  <w:r w:rsidRPr="0098430B">
                    <w:rPr>
                      <w:rFonts w:eastAsia="標楷體"/>
                      <w:sz w:val="22"/>
                    </w:rPr>
                    <w:t>月</w:t>
                  </w:r>
                </w:p>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平均</w:t>
                  </w: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10</w:t>
                  </w:r>
                  <w:r w:rsidRPr="0098430B">
                    <w:rPr>
                      <w:rFonts w:eastAsia="標楷體" w:hint="eastAsia"/>
                      <w:sz w:val="22"/>
                    </w:rPr>
                    <w:t>5</w:t>
                  </w:r>
                  <w:r w:rsidRPr="0098430B">
                    <w:rPr>
                      <w:rFonts w:eastAsia="標楷體"/>
                      <w:sz w:val="22"/>
                    </w:rPr>
                    <w:t>年</w:t>
                  </w:r>
                  <w:r w:rsidRPr="0098430B">
                    <w:rPr>
                      <w:rFonts w:eastAsia="標楷體" w:hint="eastAsia"/>
                      <w:sz w:val="22"/>
                    </w:rPr>
                    <w:t>10</w:t>
                  </w:r>
                  <w:r w:rsidRPr="0098430B">
                    <w:rPr>
                      <w:rFonts w:eastAsia="標楷體"/>
                      <w:sz w:val="22"/>
                    </w:rPr>
                    <w:t>月</w:t>
                  </w:r>
                </w:p>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sz w:val="22"/>
                    </w:rPr>
                    <w:t>平均</w:t>
                  </w:r>
                </w:p>
              </w:tc>
            </w:tr>
            <w:tr w:rsidR="00545670" w:rsidRPr="0098430B" w:rsidTr="00386F23">
              <w:tc>
                <w:tcPr>
                  <w:tcW w:w="1715" w:type="pct"/>
                  <w:shd w:val="clear" w:color="auto" w:fill="auto"/>
                  <w:vAlign w:val="center"/>
                </w:tcPr>
                <w:p w:rsidR="00545670" w:rsidRPr="0098430B" w:rsidRDefault="00545670" w:rsidP="00815264">
                  <w:pPr>
                    <w:spacing w:line="300" w:lineRule="exact"/>
                    <w:rPr>
                      <w:rFonts w:eastAsia="標楷體"/>
                    </w:rPr>
                  </w:pPr>
                  <w:proofErr w:type="gramStart"/>
                  <w:r w:rsidRPr="0098430B">
                    <w:rPr>
                      <w:rFonts w:eastAsia="標楷體" w:hint="eastAsia"/>
                    </w:rPr>
                    <w:t>喜康</w:t>
                  </w:r>
                  <w:proofErr w:type="gramEnd"/>
                  <w:r w:rsidRPr="0098430B">
                    <w:rPr>
                      <w:rFonts w:eastAsia="標楷體" w:hint="eastAsia"/>
                    </w:rPr>
                    <w:t>-KY(6540)</w:t>
                  </w: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hint="eastAsia"/>
                    </w:rPr>
                    <w:t>4.38</w:t>
                  </w: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hint="eastAsia"/>
                    </w:rPr>
                    <w:t>4.34</w:t>
                  </w:r>
                </w:p>
              </w:tc>
              <w:tc>
                <w:tcPr>
                  <w:tcW w:w="1095" w:type="pct"/>
                  <w:shd w:val="clear" w:color="auto" w:fill="auto"/>
                  <w:vAlign w:val="center"/>
                </w:tcPr>
                <w:p w:rsidR="00545670" w:rsidRPr="0098430B" w:rsidRDefault="00545670" w:rsidP="00386F23">
                  <w:pPr>
                    <w:spacing w:line="300" w:lineRule="exact"/>
                    <w:ind w:leftChars="-45" w:left="-108" w:rightChars="-45" w:right="-108"/>
                    <w:jc w:val="center"/>
                    <w:rPr>
                      <w:rFonts w:eastAsia="標楷體"/>
                      <w:sz w:val="22"/>
                    </w:rPr>
                  </w:pPr>
                  <w:r w:rsidRPr="0098430B">
                    <w:rPr>
                      <w:rFonts w:eastAsia="標楷體" w:hint="eastAsia"/>
                    </w:rPr>
                    <w:t>4.33</w:t>
                  </w:r>
                </w:p>
              </w:tc>
            </w:tr>
            <w:tr w:rsidR="00545670" w:rsidRPr="0098430B" w:rsidTr="002E0E42">
              <w:tc>
                <w:tcPr>
                  <w:tcW w:w="1715" w:type="pct"/>
                  <w:shd w:val="clear" w:color="auto" w:fill="auto"/>
                  <w:vAlign w:val="center"/>
                </w:tcPr>
                <w:p w:rsidR="00545670" w:rsidRPr="0098430B" w:rsidRDefault="00545670" w:rsidP="00386F23">
                  <w:pPr>
                    <w:spacing w:line="300" w:lineRule="exact"/>
                    <w:rPr>
                      <w:rFonts w:eastAsia="標楷體"/>
                    </w:rPr>
                  </w:pPr>
                  <w:r w:rsidRPr="0098430B">
                    <w:rPr>
                      <w:rFonts w:eastAsia="標楷體" w:hint="eastAsia"/>
                    </w:rPr>
                    <w:t>泰福</w:t>
                  </w:r>
                  <w:r w:rsidRPr="0098430B">
                    <w:rPr>
                      <w:rFonts w:eastAsia="標楷體" w:hint="eastAsia"/>
                    </w:rPr>
                    <w:t>-KY(6541)</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7.56</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7.19</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7.28</w:t>
                  </w:r>
                </w:p>
              </w:tc>
            </w:tr>
            <w:tr w:rsidR="00545670" w:rsidRPr="0098430B" w:rsidTr="007A518E">
              <w:tc>
                <w:tcPr>
                  <w:tcW w:w="1715" w:type="pct"/>
                  <w:shd w:val="clear" w:color="auto" w:fill="auto"/>
                  <w:vAlign w:val="center"/>
                </w:tcPr>
                <w:p w:rsidR="00545670" w:rsidRPr="0098430B" w:rsidRDefault="00545670" w:rsidP="007A518E">
                  <w:pPr>
                    <w:spacing w:line="300" w:lineRule="exact"/>
                    <w:rPr>
                      <w:rFonts w:eastAsia="標楷體"/>
                    </w:rPr>
                  </w:pPr>
                  <w:r w:rsidRPr="0098430B">
                    <w:rPr>
                      <w:rFonts w:eastAsia="標楷體" w:hint="eastAsia"/>
                    </w:rPr>
                    <w:t>永</w:t>
                  </w:r>
                  <w:proofErr w:type="gramStart"/>
                  <w:r w:rsidRPr="0098430B">
                    <w:rPr>
                      <w:rFonts w:eastAsia="標楷體" w:hint="eastAsia"/>
                    </w:rPr>
                    <w:t>昕</w:t>
                  </w:r>
                  <w:proofErr w:type="gramEnd"/>
                  <w:r w:rsidRPr="0098430B">
                    <w:rPr>
                      <w:rFonts w:eastAsia="標楷體" w:hint="eastAsia"/>
                    </w:rPr>
                    <w:t>(4726)</w:t>
                  </w:r>
                </w:p>
              </w:tc>
              <w:tc>
                <w:tcPr>
                  <w:tcW w:w="1095" w:type="pct"/>
                  <w:shd w:val="clear" w:color="auto" w:fill="auto"/>
                  <w:vAlign w:val="bottom"/>
                </w:tcPr>
                <w:p w:rsidR="00545670" w:rsidRPr="0098430B" w:rsidRDefault="00545670" w:rsidP="007A518E">
                  <w:pPr>
                    <w:spacing w:line="300" w:lineRule="exact"/>
                    <w:jc w:val="center"/>
                    <w:rPr>
                      <w:rFonts w:eastAsia="標楷體"/>
                    </w:rPr>
                  </w:pPr>
                  <w:r w:rsidRPr="0098430B">
                    <w:rPr>
                      <w:rFonts w:eastAsia="標楷體" w:hint="eastAsia"/>
                    </w:rPr>
                    <w:t>3.53</w:t>
                  </w:r>
                </w:p>
              </w:tc>
              <w:tc>
                <w:tcPr>
                  <w:tcW w:w="1095" w:type="pct"/>
                  <w:shd w:val="clear" w:color="auto" w:fill="auto"/>
                  <w:vAlign w:val="bottom"/>
                </w:tcPr>
                <w:p w:rsidR="00545670" w:rsidRPr="0098430B" w:rsidRDefault="00545670" w:rsidP="007A518E">
                  <w:pPr>
                    <w:spacing w:line="300" w:lineRule="exact"/>
                    <w:jc w:val="center"/>
                    <w:rPr>
                      <w:rFonts w:eastAsia="標楷體"/>
                    </w:rPr>
                  </w:pPr>
                  <w:r w:rsidRPr="0098430B">
                    <w:rPr>
                      <w:rFonts w:eastAsia="標楷體" w:hint="eastAsia"/>
                    </w:rPr>
                    <w:t>3.47</w:t>
                  </w:r>
                </w:p>
              </w:tc>
              <w:tc>
                <w:tcPr>
                  <w:tcW w:w="1095" w:type="pct"/>
                  <w:shd w:val="clear" w:color="auto" w:fill="auto"/>
                  <w:vAlign w:val="bottom"/>
                </w:tcPr>
                <w:p w:rsidR="00545670" w:rsidRPr="0098430B" w:rsidRDefault="00545670" w:rsidP="007A518E">
                  <w:pPr>
                    <w:spacing w:line="300" w:lineRule="exact"/>
                    <w:jc w:val="center"/>
                    <w:rPr>
                      <w:rFonts w:eastAsia="標楷體"/>
                    </w:rPr>
                  </w:pPr>
                  <w:r w:rsidRPr="0098430B">
                    <w:rPr>
                      <w:rFonts w:eastAsia="標楷體" w:hint="eastAsia"/>
                    </w:rPr>
                    <w:t>3.28</w:t>
                  </w:r>
                </w:p>
              </w:tc>
            </w:tr>
            <w:tr w:rsidR="00545670" w:rsidRPr="0098430B" w:rsidTr="00386F23">
              <w:tc>
                <w:tcPr>
                  <w:tcW w:w="1715" w:type="pct"/>
                  <w:shd w:val="clear" w:color="auto" w:fill="auto"/>
                  <w:vAlign w:val="center"/>
                </w:tcPr>
                <w:p w:rsidR="00545670" w:rsidRPr="0098430B" w:rsidRDefault="00545670" w:rsidP="00386F23">
                  <w:pPr>
                    <w:spacing w:line="300" w:lineRule="exact"/>
                    <w:rPr>
                      <w:rFonts w:eastAsia="標楷體"/>
                    </w:rPr>
                  </w:pPr>
                  <w:r w:rsidRPr="0098430B">
                    <w:rPr>
                      <w:rFonts w:eastAsia="標楷體"/>
                    </w:rPr>
                    <w:t>上櫃生技醫療類</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3.99</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4.14</w:t>
                  </w:r>
                </w:p>
              </w:tc>
              <w:tc>
                <w:tcPr>
                  <w:tcW w:w="1095" w:type="pct"/>
                  <w:shd w:val="clear" w:color="auto" w:fill="auto"/>
                  <w:vAlign w:val="center"/>
                </w:tcPr>
                <w:p w:rsidR="00545670" w:rsidRPr="0098430B" w:rsidRDefault="00545670">
                  <w:pPr>
                    <w:spacing w:line="300" w:lineRule="exact"/>
                    <w:jc w:val="center"/>
                    <w:rPr>
                      <w:rFonts w:eastAsia="標楷體"/>
                    </w:rPr>
                  </w:pPr>
                  <w:proofErr w:type="gramStart"/>
                  <w:r w:rsidRPr="0098430B">
                    <w:rPr>
                      <w:rFonts w:eastAsia="標楷體" w:hint="eastAsia"/>
                    </w:rPr>
                    <w:t>註</w:t>
                  </w:r>
                  <w:proofErr w:type="gramEnd"/>
                  <w:r w:rsidRPr="0098430B">
                    <w:rPr>
                      <w:rFonts w:eastAsia="標楷體" w:hint="eastAsia"/>
                    </w:rPr>
                    <w:t>1</w:t>
                  </w:r>
                </w:p>
              </w:tc>
            </w:tr>
            <w:tr w:rsidR="00545670" w:rsidRPr="0098430B" w:rsidTr="00386F23">
              <w:tc>
                <w:tcPr>
                  <w:tcW w:w="1715" w:type="pct"/>
                  <w:shd w:val="clear" w:color="auto" w:fill="auto"/>
                  <w:vAlign w:val="center"/>
                </w:tcPr>
                <w:p w:rsidR="00545670" w:rsidRPr="0098430B" w:rsidRDefault="00545670" w:rsidP="00386F23">
                  <w:pPr>
                    <w:spacing w:line="300" w:lineRule="exact"/>
                    <w:rPr>
                      <w:rFonts w:eastAsia="標楷體"/>
                    </w:rPr>
                  </w:pPr>
                  <w:r w:rsidRPr="0098430B">
                    <w:rPr>
                      <w:rFonts w:eastAsia="標楷體"/>
                    </w:rPr>
                    <w:t>上市生技醫療類</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2.41</w:t>
                  </w:r>
                </w:p>
              </w:tc>
              <w:tc>
                <w:tcPr>
                  <w:tcW w:w="1095" w:type="pct"/>
                  <w:shd w:val="clear" w:color="auto" w:fill="auto"/>
                  <w:vAlign w:val="center"/>
                </w:tcPr>
                <w:p w:rsidR="00545670" w:rsidRPr="0098430B" w:rsidRDefault="00545670" w:rsidP="00386F23">
                  <w:pPr>
                    <w:spacing w:line="300" w:lineRule="exact"/>
                    <w:jc w:val="center"/>
                    <w:rPr>
                      <w:rFonts w:eastAsia="標楷體"/>
                    </w:rPr>
                  </w:pPr>
                  <w:r w:rsidRPr="0098430B">
                    <w:rPr>
                      <w:rFonts w:eastAsia="標楷體" w:hint="eastAsia"/>
                    </w:rPr>
                    <w:t>2.47</w:t>
                  </w:r>
                </w:p>
              </w:tc>
              <w:tc>
                <w:tcPr>
                  <w:tcW w:w="1095" w:type="pct"/>
                  <w:shd w:val="clear" w:color="auto" w:fill="auto"/>
                  <w:vAlign w:val="center"/>
                </w:tcPr>
                <w:p w:rsidR="00545670" w:rsidRPr="0098430B" w:rsidRDefault="00545670" w:rsidP="00386F23">
                  <w:pPr>
                    <w:spacing w:line="300" w:lineRule="exact"/>
                    <w:jc w:val="center"/>
                    <w:rPr>
                      <w:rFonts w:eastAsia="標楷體"/>
                    </w:rPr>
                  </w:pPr>
                  <w:proofErr w:type="gramStart"/>
                  <w:r w:rsidRPr="0098430B">
                    <w:rPr>
                      <w:rFonts w:eastAsia="標楷體" w:hint="eastAsia"/>
                    </w:rPr>
                    <w:t>註</w:t>
                  </w:r>
                  <w:proofErr w:type="gramEnd"/>
                  <w:r w:rsidRPr="0098430B">
                    <w:rPr>
                      <w:rFonts w:eastAsia="標楷體" w:hint="eastAsia"/>
                    </w:rPr>
                    <w:t>1</w:t>
                  </w:r>
                </w:p>
              </w:tc>
            </w:tr>
          </w:tbl>
          <w:p w:rsidR="00545670" w:rsidRPr="0098430B" w:rsidRDefault="00545670" w:rsidP="006A4C29">
            <w:pPr>
              <w:spacing w:line="240" w:lineRule="exact"/>
              <w:jc w:val="both"/>
              <w:rPr>
                <w:rFonts w:eastAsia="標楷體"/>
                <w:sz w:val="20"/>
                <w:szCs w:val="20"/>
              </w:rPr>
            </w:pPr>
            <w:r w:rsidRPr="0098430B">
              <w:rPr>
                <w:rFonts w:eastAsia="標楷體" w:hint="eastAsia"/>
                <w:sz w:val="20"/>
                <w:szCs w:val="20"/>
              </w:rPr>
              <w:t>資料來源：證券櫃檯買賣中心網站及證券交易所網站資料。</w:t>
            </w:r>
          </w:p>
          <w:p w:rsidR="00545670" w:rsidRPr="0098430B" w:rsidRDefault="00545670" w:rsidP="006A4C29">
            <w:pPr>
              <w:spacing w:line="240" w:lineRule="exact"/>
              <w:jc w:val="both"/>
              <w:rPr>
                <w:rFonts w:eastAsia="標楷體"/>
                <w:sz w:val="20"/>
                <w:szCs w:val="20"/>
              </w:rPr>
            </w:pPr>
            <w:proofErr w:type="gramStart"/>
            <w:r w:rsidRPr="0098430B">
              <w:rPr>
                <w:rFonts w:eastAsia="標楷體" w:hint="eastAsia"/>
                <w:sz w:val="20"/>
                <w:szCs w:val="20"/>
              </w:rPr>
              <w:lastRenderedPageBreak/>
              <w:t>註</w:t>
            </w:r>
            <w:proofErr w:type="gramEnd"/>
            <w:r w:rsidRPr="0098430B">
              <w:rPr>
                <w:rFonts w:eastAsia="標楷體"/>
                <w:sz w:val="20"/>
                <w:szCs w:val="20"/>
              </w:rPr>
              <w:t>1</w:t>
            </w:r>
            <w:r w:rsidRPr="0098430B">
              <w:rPr>
                <w:rFonts w:eastAsia="標楷體" w:hint="eastAsia"/>
                <w:sz w:val="20"/>
                <w:szCs w:val="20"/>
              </w:rPr>
              <w:t>：截至基本資料</w:t>
            </w:r>
            <w:proofErr w:type="gramStart"/>
            <w:r w:rsidRPr="0098430B">
              <w:rPr>
                <w:rFonts w:eastAsia="標楷體" w:hint="eastAsia"/>
                <w:sz w:val="20"/>
                <w:szCs w:val="20"/>
              </w:rPr>
              <w:t>出具日</w:t>
            </w:r>
            <w:proofErr w:type="gramEnd"/>
            <w:r w:rsidRPr="0098430B">
              <w:rPr>
                <w:rFonts w:eastAsia="標楷體" w:hint="eastAsia"/>
                <w:sz w:val="20"/>
                <w:szCs w:val="20"/>
              </w:rPr>
              <w:t>，證券櫃檯買賣中心網站及證券交易所網站尚未公告</w:t>
            </w:r>
          </w:p>
          <w:p w:rsidR="00545670" w:rsidRPr="0098430B" w:rsidRDefault="00545670" w:rsidP="006A4C29">
            <w:pPr>
              <w:spacing w:beforeLines="50" w:before="180"/>
              <w:ind w:leftChars="-4" w:left="-10" w:firstLineChars="205" w:firstLine="492"/>
              <w:jc w:val="both"/>
              <w:rPr>
                <w:rFonts w:eastAsia="標楷體"/>
              </w:rPr>
            </w:pPr>
            <w:r w:rsidRPr="0098430B">
              <w:rPr>
                <w:rFonts w:eastAsia="標楷體" w:hint="eastAsia"/>
              </w:rPr>
              <w:t>由上表可知，台康公司之上市櫃</w:t>
            </w:r>
            <w:r w:rsidRPr="0098430B">
              <w:rPr>
                <w:rFonts w:eastAsia="標楷體" w:hint="eastAsia"/>
              </w:rPr>
              <w:t>(</w:t>
            </w:r>
            <w:proofErr w:type="gramStart"/>
            <w:r w:rsidRPr="0098430B">
              <w:rPr>
                <w:rFonts w:eastAsia="標楷體" w:hint="eastAsia"/>
              </w:rPr>
              <w:t>興櫃</w:t>
            </w:r>
            <w:r w:rsidRPr="0098430B">
              <w:rPr>
                <w:rFonts w:eastAsia="標楷體" w:hint="eastAsia"/>
              </w:rPr>
              <w:t>)</w:t>
            </w:r>
            <w:r w:rsidRPr="0098430B">
              <w:rPr>
                <w:rFonts w:eastAsia="標楷體" w:hint="eastAsia"/>
              </w:rPr>
              <w:t>採</w:t>
            </w:r>
            <w:proofErr w:type="gramEnd"/>
            <w:r w:rsidRPr="0098430B">
              <w:rPr>
                <w:rFonts w:eastAsia="標楷體" w:hint="eastAsia"/>
              </w:rPr>
              <w:t>樣同業及上市櫃生技醫療類股</w:t>
            </w:r>
            <w:r w:rsidRPr="0098430B">
              <w:rPr>
                <w:rFonts w:eastAsia="標楷體" w:hint="eastAsia"/>
              </w:rPr>
              <w:t>105</w:t>
            </w:r>
            <w:r w:rsidRPr="0098430B">
              <w:rPr>
                <w:rFonts w:eastAsia="標楷體" w:hint="eastAsia"/>
              </w:rPr>
              <w:t>年</w:t>
            </w:r>
            <w:r w:rsidRPr="0098430B">
              <w:rPr>
                <w:rFonts w:eastAsia="標楷體" w:hint="eastAsia"/>
              </w:rPr>
              <w:t>8</w:t>
            </w:r>
            <w:r w:rsidRPr="0098430B">
              <w:rPr>
                <w:rFonts w:eastAsia="標楷體" w:hint="eastAsia"/>
              </w:rPr>
              <w:t>月份至</w:t>
            </w:r>
            <w:r w:rsidRPr="0098430B">
              <w:rPr>
                <w:rFonts w:eastAsia="標楷體" w:hint="eastAsia"/>
              </w:rPr>
              <w:t>105</w:t>
            </w:r>
            <w:r w:rsidRPr="0098430B">
              <w:rPr>
                <w:rFonts w:eastAsia="標楷體" w:hint="eastAsia"/>
              </w:rPr>
              <w:t>年</w:t>
            </w:r>
            <w:r w:rsidRPr="0098430B">
              <w:rPr>
                <w:rFonts w:eastAsia="標楷體" w:hint="eastAsia"/>
              </w:rPr>
              <w:t>10</w:t>
            </w:r>
            <w:r w:rsidRPr="0098430B">
              <w:rPr>
                <w:rFonts w:eastAsia="標楷體" w:hint="eastAsia"/>
              </w:rPr>
              <w:t>月份平均股價淨值比在</w:t>
            </w:r>
            <w:r w:rsidRPr="0098430B">
              <w:rPr>
                <w:rFonts w:eastAsia="標楷體"/>
              </w:rPr>
              <w:t>2.41~4.38</w:t>
            </w:r>
            <w:r w:rsidRPr="0098430B">
              <w:rPr>
                <w:rFonts w:eastAsia="標楷體" w:hint="eastAsia"/>
              </w:rPr>
              <w:t>倍</w:t>
            </w:r>
            <w:proofErr w:type="gramStart"/>
            <w:r w:rsidRPr="0098430B">
              <w:rPr>
                <w:rFonts w:eastAsia="標楷體" w:hint="eastAsia"/>
              </w:rPr>
              <w:t>之間</w:t>
            </w:r>
            <w:r w:rsidRPr="0098430B">
              <w:rPr>
                <w:rFonts w:eastAsia="標楷體" w:hint="eastAsia"/>
              </w:rPr>
              <w:t>(</w:t>
            </w:r>
            <w:proofErr w:type="gramEnd"/>
            <w:r w:rsidRPr="0098430B">
              <w:rPr>
                <w:rFonts w:eastAsia="標楷體" w:hint="eastAsia"/>
              </w:rPr>
              <w:t>排除異常極端值</w:t>
            </w:r>
            <w:r w:rsidRPr="0098430B">
              <w:rPr>
                <w:rFonts w:eastAsia="標楷體" w:hint="eastAsia"/>
              </w:rPr>
              <w:t>)</w:t>
            </w:r>
            <w:r w:rsidRPr="0098430B">
              <w:rPr>
                <w:rFonts w:eastAsia="標楷體" w:hint="eastAsia"/>
              </w:rPr>
              <w:t>，該公司</w:t>
            </w:r>
            <w:r w:rsidRPr="0098430B">
              <w:rPr>
                <w:rFonts w:eastAsia="標楷體" w:hint="eastAsia"/>
              </w:rPr>
              <w:t>105</w:t>
            </w:r>
            <w:r w:rsidRPr="0098430B">
              <w:rPr>
                <w:rFonts w:eastAsia="標楷體" w:hint="eastAsia"/>
              </w:rPr>
              <w:t>年第二季財務報表所列示之</w:t>
            </w:r>
            <w:r w:rsidRPr="0098430B">
              <w:rPr>
                <w:rFonts w:ascii="標楷體" w:eastAsia="標楷體" w:hAnsi="標楷體" w:hint="eastAsia"/>
              </w:rPr>
              <w:t>每</w:t>
            </w:r>
            <w:r w:rsidRPr="0098430B">
              <w:rPr>
                <w:rFonts w:eastAsia="標楷體" w:hint="eastAsia"/>
              </w:rPr>
              <w:t>股淨值為</w:t>
            </w:r>
            <w:r w:rsidRPr="0098430B">
              <w:rPr>
                <w:rFonts w:eastAsia="標楷體" w:hint="eastAsia"/>
              </w:rPr>
              <w:t>13.56</w:t>
            </w:r>
            <w:r w:rsidRPr="0098430B">
              <w:rPr>
                <w:rFonts w:eastAsia="標楷體" w:hint="eastAsia"/>
              </w:rPr>
              <w:t>元，如以議定認購價格</w:t>
            </w:r>
            <w:r w:rsidRPr="0098430B">
              <w:rPr>
                <w:rFonts w:eastAsia="標楷體" w:hint="eastAsia"/>
              </w:rPr>
              <w:t>55</w:t>
            </w:r>
            <w:r w:rsidRPr="0098430B">
              <w:rPr>
                <w:rFonts w:eastAsia="標楷體" w:hint="eastAsia"/>
              </w:rPr>
              <w:t>元設算，股價淨值比為</w:t>
            </w:r>
            <w:r w:rsidRPr="0098430B">
              <w:rPr>
                <w:rFonts w:eastAsia="標楷體" w:hint="eastAsia"/>
              </w:rPr>
              <w:t>4.06</w:t>
            </w:r>
            <w:r w:rsidRPr="0098430B">
              <w:rPr>
                <w:rFonts w:eastAsia="標楷體" w:hint="eastAsia"/>
              </w:rPr>
              <w:t>倍，介於上市櫃</w:t>
            </w:r>
            <w:r w:rsidRPr="0098430B">
              <w:rPr>
                <w:rFonts w:eastAsia="標楷體" w:hint="eastAsia"/>
              </w:rPr>
              <w:t>(</w:t>
            </w:r>
            <w:proofErr w:type="gramStart"/>
            <w:r w:rsidRPr="0098430B">
              <w:rPr>
                <w:rFonts w:eastAsia="標楷體" w:hint="eastAsia"/>
              </w:rPr>
              <w:t>興櫃</w:t>
            </w:r>
            <w:r w:rsidRPr="0098430B">
              <w:rPr>
                <w:rFonts w:eastAsia="標楷體" w:hint="eastAsia"/>
              </w:rPr>
              <w:t>)</w:t>
            </w:r>
            <w:r w:rsidRPr="0098430B">
              <w:rPr>
                <w:rFonts w:eastAsia="標楷體" w:hint="eastAsia"/>
              </w:rPr>
              <w:t>採</w:t>
            </w:r>
            <w:proofErr w:type="gramEnd"/>
            <w:r w:rsidRPr="0098430B">
              <w:rPr>
                <w:rFonts w:eastAsia="標楷體" w:hint="eastAsia"/>
              </w:rPr>
              <w:t>樣同業及上市櫃生技醫療類股之平均股價淨值比區間。</w:t>
            </w:r>
          </w:p>
          <w:p w:rsidR="00545670" w:rsidRPr="0098430B" w:rsidRDefault="00545670" w:rsidP="002D1117">
            <w:pPr>
              <w:ind w:firstLineChars="200" w:firstLine="480"/>
              <w:rPr>
                <w:rFonts w:eastAsia="標楷體"/>
              </w:rPr>
            </w:pPr>
            <w:r w:rsidRPr="0098430B">
              <w:rPr>
                <w:rFonts w:eastAsia="標楷體" w:hint="eastAsia"/>
              </w:rPr>
              <w:t>本</w:t>
            </w:r>
            <w:proofErr w:type="gramStart"/>
            <w:r w:rsidRPr="0098430B">
              <w:rPr>
                <w:rFonts w:eastAsia="標楷體" w:hint="eastAsia"/>
              </w:rPr>
              <w:t>次興櫃</w:t>
            </w:r>
            <w:proofErr w:type="gramEnd"/>
            <w:r w:rsidRPr="0098430B">
              <w:rPr>
                <w:rFonts w:eastAsia="標楷體" w:hint="eastAsia"/>
              </w:rPr>
              <w:t>認購價格之訂定除參酌國際慣用之評價方法計算該公司之合理價格，並考量該公司產業前景、產品開發階段、經營績效、發行市場環境等因素外，亦參酌已上市櫃</w:t>
            </w:r>
            <w:r w:rsidRPr="0098430B">
              <w:rPr>
                <w:rFonts w:eastAsia="標楷體"/>
              </w:rPr>
              <w:t>(</w:t>
            </w:r>
            <w:proofErr w:type="gramStart"/>
            <w:r w:rsidRPr="0098430B">
              <w:rPr>
                <w:rFonts w:eastAsia="標楷體" w:hint="eastAsia"/>
              </w:rPr>
              <w:t>興櫃</w:t>
            </w:r>
            <w:r w:rsidRPr="0098430B">
              <w:rPr>
                <w:rFonts w:eastAsia="標楷體"/>
              </w:rPr>
              <w:t>)</w:t>
            </w:r>
            <w:proofErr w:type="gramEnd"/>
            <w:r w:rsidRPr="0098430B">
              <w:rPr>
                <w:rFonts w:eastAsia="標楷體" w:hint="eastAsia"/>
              </w:rPr>
              <w:t>同業之市場狀況、</w:t>
            </w:r>
            <w:proofErr w:type="gramStart"/>
            <w:r w:rsidRPr="0098430B">
              <w:rPr>
                <w:rFonts w:eastAsia="標楷體" w:hint="eastAsia"/>
              </w:rPr>
              <w:t>興櫃流通</w:t>
            </w:r>
            <w:proofErr w:type="gramEnd"/>
            <w:r w:rsidRPr="0098430B">
              <w:rPr>
                <w:rFonts w:eastAsia="標楷體" w:hint="eastAsia"/>
              </w:rPr>
              <w:t>性風險及</w:t>
            </w:r>
            <w:r w:rsidRPr="00A07F04">
              <w:rPr>
                <w:rFonts w:eastAsia="標楷體" w:hint="eastAsia"/>
              </w:rPr>
              <w:t>該公司生物相似藥研發進度良好</w:t>
            </w:r>
            <w:r w:rsidRPr="0098430B">
              <w:rPr>
                <w:rFonts w:eastAsia="標楷體" w:hint="eastAsia"/>
              </w:rPr>
              <w:t>等因素後，由推薦證券商與該公司共同議定認購價格為每股</w:t>
            </w:r>
            <w:r w:rsidRPr="0098430B">
              <w:rPr>
                <w:rFonts w:eastAsia="標楷體" w:hint="eastAsia"/>
              </w:rPr>
              <w:t>55</w:t>
            </w:r>
            <w:r w:rsidRPr="0098430B">
              <w:rPr>
                <w:rFonts w:eastAsia="標楷體" w:hint="eastAsia"/>
              </w:rPr>
              <w:t>元，尚屬合理。</w:t>
            </w:r>
          </w:p>
        </w:tc>
      </w:tr>
    </w:tbl>
    <w:p w:rsidR="00BF2B97" w:rsidRPr="00D87F5A" w:rsidRDefault="00BF2B97">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161123" w:rsidRPr="00D87F5A">
        <w:trPr>
          <w:trHeight w:val="768"/>
        </w:trPr>
        <w:tc>
          <w:tcPr>
            <w:tcW w:w="9568" w:type="dxa"/>
          </w:tcPr>
          <w:bookmarkStart w:id="3" w:name="公司簡介"/>
          <w:bookmarkEnd w:id="3"/>
          <w:p w:rsidR="00161123" w:rsidRPr="003F2B3F" w:rsidRDefault="00910C26">
            <w:pPr>
              <w:spacing w:line="480" w:lineRule="auto"/>
              <w:jc w:val="center"/>
              <w:rPr>
                <w:rFonts w:eastAsia="標楷體"/>
                <w:b/>
                <w:bCs/>
              </w:rPr>
            </w:pPr>
            <w:r>
              <w:rPr>
                <w:rFonts w:eastAsia="標楷體"/>
                <w:noProof/>
                <w:sz w:val="20"/>
              </w:rPr>
              <mc:AlternateContent>
                <mc:Choice Requires="wps">
                  <w:drawing>
                    <wp:anchor distT="0" distB="0" distL="114300" distR="114300" simplePos="0" relativeHeight="251653120" behindDoc="1" locked="0" layoutInCell="1" allowOverlap="1" wp14:anchorId="7BCDB2AF" wp14:editId="1D4CD432">
                      <wp:simplePos x="0" y="0"/>
                      <wp:positionH relativeFrom="column">
                        <wp:posOffset>-13970</wp:posOffset>
                      </wp:positionH>
                      <wp:positionV relativeFrom="paragraph">
                        <wp:posOffset>-6350</wp:posOffset>
                      </wp:positionV>
                      <wp:extent cx="6057900" cy="502285"/>
                      <wp:effectExtent l="0" t="3175" r="4445"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670" w:rsidRDefault="00545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1pt;margin-top:-.5pt;width:477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" fillcolor="#ededed" stroked="f">
                      <v:fill rotate="t" focus="50%" type="gradient"/>
                      <v:textbox>
                        <w:txbxContent>
                          <w:p w:rsidR="00386F23" w:rsidRDefault="00386F23"/>
                        </w:txbxContent>
                      </v:textbox>
                    </v:shape>
                  </w:pict>
                </mc:Fallback>
              </mc:AlternateContent>
            </w:r>
            <w:r w:rsidR="00161123" w:rsidRPr="003F2B3F">
              <w:rPr>
                <w:rFonts w:eastAsia="標楷體"/>
                <w:b/>
                <w:bCs/>
              </w:rPr>
              <w:t>公司簡介</w:t>
            </w:r>
            <w:r w:rsidR="00161123" w:rsidRPr="003F2B3F">
              <w:rPr>
                <w:rFonts w:eastAsia="標楷體"/>
                <w:b/>
                <w:bCs/>
              </w:rPr>
              <w:t>(</w:t>
            </w:r>
            <w:r w:rsidR="00161123" w:rsidRPr="003F2B3F">
              <w:rPr>
                <w:rFonts w:eastAsia="標楷體"/>
                <w:b/>
                <w:bCs/>
              </w:rPr>
              <w:t>公司介紹、歷史沿革、經營理念、未來展望等</w:t>
            </w:r>
            <w:r w:rsidR="00161123" w:rsidRPr="003F2B3F">
              <w:rPr>
                <w:rFonts w:eastAsia="標楷體"/>
                <w:b/>
                <w:bCs/>
              </w:rPr>
              <w:t>)</w:t>
            </w:r>
          </w:p>
        </w:tc>
      </w:tr>
      <w:tr w:rsidR="00161123" w:rsidRPr="00D87F5A" w:rsidTr="00EF18DE">
        <w:tc>
          <w:tcPr>
            <w:tcW w:w="9568" w:type="dxa"/>
            <w:shd w:val="clear" w:color="auto" w:fill="auto"/>
          </w:tcPr>
          <w:p w:rsidR="007E51A2" w:rsidRPr="003F2B3F" w:rsidRDefault="007E51A2" w:rsidP="00E20000">
            <w:pPr>
              <w:pStyle w:val="HTML"/>
              <w:spacing w:line="240" w:lineRule="atLeast"/>
              <w:rPr>
                <w:rStyle w:val="HTML0"/>
                <w:rFonts w:ascii="Times New Roman" w:eastAsia="標楷體" w:hAnsi="Times New Roman" w:cs="Times New Roman"/>
                <w:sz w:val="40"/>
                <w:szCs w:val="40"/>
              </w:rPr>
            </w:pPr>
            <w:r w:rsidRPr="003F2B3F">
              <w:rPr>
                <w:rFonts w:ascii="Times New Roman" w:eastAsia="標楷體" w:hAnsi="Times New Roman" w:cs="Times New Roman"/>
                <w:b/>
                <w:bCs/>
                <w:sz w:val="40"/>
                <w:szCs w:val="40"/>
              </w:rPr>
              <w:t>公司介紹</w:t>
            </w:r>
          </w:p>
          <w:p w:rsidR="00EE06EC" w:rsidRPr="003F2B3F" w:rsidRDefault="00EE06EC" w:rsidP="001C1FBE">
            <w:pPr>
              <w:spacing w:line="400" w:lineRule="exact"/>
              <w:jc w:val="both"/>
              <w:rPr>
                <w:rFonts w:eastAsia="標楷體"/>
              </w:rPr>
            </w:pPr>
            <w:r w:rsidRPr="003F2B3F">
              <w:rPr>
                <w:rFonts w:eastAsia="標楷體"/>
              </w:rPr>
              <w:t xml:space="preserve">    </w:t>
            </w:r>
            <w:r w:rsidR="00E20000" w:rsidRPr="003F2B3F">
              <w:rPr>
                <w:rFonts w:eastAsia="標楷體"/>
              </w:rPr>
              <w:t>台康生技股份有限公司</w:t>
            </w:r>
            <w:r w:rsidR="00E20000" w:rsidRPr="003F2B3F">
              <w:rPr>
                <w:rFonts w:eastAsia="標楷體"/>
              </w:rPr>
              <w:t>(</w:t>
            </w:r>
            <w:r w:rsidR="00E20000" w:rsidRPr="003F2B3F">
              <w:rPr>
                <w:rFonts w:eastAsia="標楷體"/>
              </w:rPr>
              <w:t>以下簡稱</w:t>
            </w:r>
            <w:proofErr w:type="gramStart"/>
            <w:r w:rsidR="00E20000" w:rsidRPr="003F2B3F">
              <w:rPr>
                <w:rFonts w:eastAsia="標楷體"/>
              </w:rPr>
              <w:t>”</w:t>
            </w:r>
            <w:proofErr w:type="gramEnd"/>
            <w:r w:rsidR="00E20000" w:rsidRPr="003F2B3F">
              <w:rPr>
                <w:rFonts w:eastAsia="標楷體"/>
              </w:rPr>
              <w:t>台康生技</w:t>
            </w:r>
            <w:proofErr w:type="gramStart"/>
            <w:r w:rsidR="00E20000" w:rsidRPr="003F2B3F">
              <w:rPr>
                <w:rFonts w:eastAsia="標楷體"/>
              </w:rPr>
              <w:t>”</w:t>
            </w:r>
            <w:proofErr w:type="gramEnd"/>
            <w:r w:rsidR="00E20000" w:rsidRPr="003F2B3F">
              <w:rPr>
                <w:rFonts w:eastAsia="標楷體"/>
              </w:rPr>
              <w:t>)</w:t>
            </w:r>
            <w:r w:rsidR="00C71A3C" w:rsidRPr="003F2B3F">
              <w:rPr>
                <w:rFonts w:eastAsia="標楷體"/>
              </w:rPr>
              <w:t xml:space="preserve"> </w:t>
            </w:r>
            <w:r w:rsidR="00C71A3C" w:rsidRPr="003F2B3F">
              <w:rPr>
                <w:rFonts w:eastAsia="標楷體"/>
              </w:rPr>
              <w:t>為一專注於生物相似藥</w:t>
            </w:r>
            <w:r w:rsidR="00C71A3C" w:rsidRPr="003F2B3F">
              <w:rPr>
                <w:rFonts w:eastAsia="標楷體"/>
              </w:rPr>
              <w:t>(</w:t>
            </w:r>
            <w:proofErr w:type="spellStart"/>
            <w:r w:rsidR="00C71A3C" w:rsidRPr="003F2B3F">
              <w:rPr>
                <w:rFonts w:eastAsia="標楷體"/>
              </w:rPr>
              <w:t>Biosimilars</w:t>
            </w:r>
            <w:proofErr w:type="spellEnd"/>
            <w:r w:rsidR="00C71A3C" w:rsidRPr="003F2B3F">
              <w:rPr>
                <w:rFonts w:eastAsia="標楷體"/>
              </w:rPr>
              <w:t>)</w:t>
            </w:r>
            <w:r w:rsidR="001C1FBE">
              <w:rPr>
                <w:rFonts w:ascii="標楷體" w:eastAsia="標楷體" w:hAnsi="標楷體" w:hint="eastAsia"/>
              </w:rPr>
              <w:t>、</w:t>
            </w:r>
            <w:r w:rsidR="001C1FBE">
              <w:rPr>
                <w:rFonts w:eastAsia="標楷體"/>
              </w:rPr>
              <w:t>新藥開發</w:t>
            </w:r>
            <w:r w:rsidR="00B433F9" w:rsidRPr="003F2B3F">
              <w:rPr>
                <w:rFonts w:eastAsia="標楷體"/>
              </w:rPr>
              <w:t>及生物藥委託研究開發暨生產</w:t>
            </w:r>
            <w:r w:rsidR="00C71A3C" w:rsidRPr="003F2B3F">
              <w:rPr>
                <w:rFonts w:eastAsia="標楷體"/>
              </w:rPr>
              <w:t>服務</w:t>
            </w:r>
            <w:r w:rsidR="00C71A3C" w:rsidRPr="003F2B3F">
              <w:rPr>
                <w:rFonts w:eastAsia="標楷體"/>
              </w:rPr>
              <w:t>(CDMO)</w:t>
            </w:r>
            <w:r w:rsidR="00C71A3C" w:rsidRPr="003F2B3F">
              <w:rPr>
                <w:rFonts w:eastAsia="標楷體"/>
              </w:rPr>
              <w:t>之生技醫藥公司</w:t>
            </w:r>
            <w:r w:rsidR="00C71A3C" w:rsidRPr="00FF7515">
              <w:rPr>
                <w:rFonts w:eastAsia="標楷體" w:hint="eastAsia"/>
              </w:rPr>
              <w:t>。</w:t>
            </w:r>
            <w:r w:rsidR="00910C26" w:rsidRPr="00270410">
              <w:rPr>
                <w:rFonts w:eastAsia="標楷體" w:hint="eastAsia"/>
              </w:rPr>
              <w:t>台康生技、</w:t>
            </w:r>
            <w:proofErr w:type="gramStart"/>
            <w:r w:rsidR="00910C26" w:rsidRPr="00270410">
              <w:rPr>
                <w:rFonts w:eastAsia="標楷體" w:hint="eastAsia"/>
              </w:rPr>
              <w:t>台耀化學</w:t>
            </w:r>
            <w:proofErr w:type="gramEnd"/>
            <w:r w:rsidR="00910C26" w:rsidRPr="00270410">
              <w:rPr>
                <w:rFonts w:eastAsia="標楷體" w:hint="eastAsia"/>
              </w:rPr>
              <w:t>及生技中心三方於</w:t>
            </w:r>
            <w:r w:rsidR="00910C26" w:rsidRPr="00270410">
              <w:rPr>
                <w:rFonts w:eastAsia="標楷體"/>
              </w:rPr>
              <w:t>102</w:t>
            </w:r>
            <w:r w:rsidR="00910C26" w:rsidRPr="00270410">
              <w:rPr>
                <w:rFonts w:eastAsia="標楷體" w:hint="eastAsia"/>
              </w:rPr>
              <w:t>年</w:t>
            </w:r>
            <w:r w:rsidR="00910C26" w:rsidRPr="00270410">
              <w:rPr>
                <w:rFonts w:eastAsia="標楷體"/>
              </w:rPr>
              <w:t>3</w:t>
            </w:r>
            <w:r w:rsidR="00910C26" w:rsidRPr="00270410">
              <w:rPr>
                <w:rFonts w:eastAsia="標楷體" w:hint="eastAsia"/>
              </w:rPr>
              <w:t>月</w:t>
            </w:r>
            <w:r w:rsidR="00910C26" w:rsidRPr="00270410">
              <w:rPr>
                <w:rFonts w:eastAsia="標楷體"/>
              </w:rPr>
              <w:t>15</w:t>
            </w:r>
            <w:r w:rsidR="00910C26" w:rsidRPr="00270410">
              <w:rPr>
                <w:rFonts w:eastAsia="標楷體" w:hint="eastAsia"/>
              </w:rPr>
              <w:t>日完成合資協議書簽約，由台康生技取得經營權，並於</w:t>
            </w:r>
            <w:r w:rsidR="00910C26" w:rsidRPr="00270410">
              <w:rPr>
                <w:rFonts w:eastAsia="標楷體"/>
              </w:rPr>
              <w:t>4</w:t>
            </w:r>
            <w:r w:rsidR="00910C26" w:rsidRPr="00270410">
              <w:rPr>
                <w:rFonts w:eastAsia="標楷體" w:hint="eastAsia"/>
              </w:rPr>
              <w:t>月完成移轉所有關鍵技術及研發生產的人員，同時承接原先導工廠團隊完整的核心能量，包含細胞株建立、製程開發、蛋白質特性分析及品管、及動物細胞與微生物兩座</w:t>
            </w:r>
            <w:r w:rsidR="00910C26" w:rsidRPr="00270410">
              <w:rPr>
                <w:rFonts w:eastAsia="標楷體"/>
              </w:rPr>
              <w:t xml:space="preserve">TFDA </w:t>
            </w:r>
            <w:r w:rsidR="00910C26" w:rsidRPr="00270410">
              <w:rPr>
                <w:rFonts w:eastAsia="標楷體" w:hint="eastAsia"/>
              </w:rPr>
              <w:t>認證的</w:t>
            </w:r>
            <w:r w:rsidR="00910C26" w:rsidRPr="00270410">
              <w:rPr>
                <w:rFonts w:eastAsia="標楷體"/>
              </w:rPr>
              <w:t>cGMP</w:t>
            </w:r>
            <w:r w:rsidR="00910C26" w:rsidRPr="00270410">
              <w:rPr>
                <w:rFonts w:eastAsia="標楷體" w:hint="eastAsia"/>
              </w:rPr>
              <w:t>廠房</w:t>
            </w:r>
            <w:r w:rsidR="00E20000" w:rsidRPr="00270410">
              <w:rPr>
                <w:rFonts w:eastAsia="標楷體" w:hint="eastAsia"/>
              </w:rPr>
              <w:t>，開始正式營運。</w:t>
            </w:r>
          </w:p>
          <w:p w:rsidR="00C8594D" w:rsidRPr="003F2B3F" w:rsidRDefault="00C8594D" w:rsidP="00D87F5A">
            <w:pPr>
              <w:pStyle w:val="HTML"/>
              <w:spacing w:line="240" w:lineRule="atLeast"/>
              <w:rPr>
                <w:rFonts w:ascii="Times New Roman" w:eastAsia="標楷體" w:hAnsi="Times New Roman" w:cs="Times New Roman"/>
                <w:b/>
                <w:bCs/>
                <w:sz w:val="40"/>
                <w:szCs w:val="40"/>
              </w:rPr>
            </w:pPr>
            <w:r w:rsidRPr="003F2B3F">
              <w:rPr>
                <w:rFonts w:ascii="Times New Roman" w:eastAsia="標楷體" w:hAnsi="Times New Roman" w:cs="Times New Roman"/>
                <w:b/>
                <w:bCs/>
                <w:sz w:val="40"/>
                <w:szCs w:val="40"/>
              </w:rPr>
              <w:t>經營理念</w:t>
            </w:r>
          </w:p>
          <w:p w:rsidR="00EE06EC" w:rsidRPr="003F2B3F" w:rsidRDefault="00EE06EC" w:rsidP="00EE06EC">
            <w:pPr>
              <w:spacing w:line="400" w:lineRule="exact"/>
              <w:rPr>
                <w:rFonts w:eastAsia="標楷體"/>
              </w:rPr>
            </w:pPr>
            <w:r w:rsidRPr="003F2B3F">
              <w:rPr>
                <w:rFonts w:eastAsia="標楷體"/>
              </w:rPr>
              <w:t xml:space="preserve">    </w:t>
            </w:r>
            <w:r w:rsidR="00E20000" w:rsidRPr="003F2B3F">
              <w:rPr>
                <w:rFonts w:eastAsia="標楷體"/>
              </w:rPr>
              <w:t>台康生技成立之始，即以永續性的成長</w:t>
            </w:r>
            <w:r w:rsidR="00E20000" w:rsidRPr="003F2B3F">
              <w:rPr>
                <w:rFonts w:eastAsia="標楷體"/>
              </w:rPr>
              <w:t xml:space="preserve"> (sustainable growth)</w:t>
            </w:r>
            <w:r w:rsidR="00E20000" w:rsidRPr="003F2B3F">
              <w:rPr>
                <w:rFonts w:eastAsia="標楷體"/>
              </w:rPr>
              <w:t>為經營理念方針，考量業務及藥物開發時間長短、風險大小、報酬高低等三項因素，而擬出</w:t>
            </w:r>
            <w:r w:rsidR="00E20000" w:rsidRPr="003F2B3F">
              <w:rPr>
                <w:rFonts w:eastAsia="標楷體"/>
              </w:rPr>
              <w:t>1.</w:t>
            </w:r>
            <w:r w:rsidR="00E42C70" w:rsidRPr="003F2B3F">
              <w:rPr>
                <w:rFonts w:eastAsia="標楷體"/>
              </w:rPr>
              <w:t>生物藥委託研究開發暨生產</w:t>
            </w:r>
            <w:r w:rsidR="00E20000" w:rsidRPr="003F2B3F">
              <w:rPr>
                <w:rFonts w:eastAsia="標楷體"/>
              </w:rPr>
              <w:t>服務</w:t>
            </w:r>
            <w:r w:rsidR="00E20000" w:rsidRPr="003F2B3F">
              <w:rPr>
                <w:rFonts w:eastAsia="標楷體"/>
              </w:rPr>
              <w:t>(CDMO)</w:t>
            </w:r>
            <w:r w:rsidR="00E20000" w:rsidRPr="003F2B3F">
              <w:rPr>
                <w:rFonts w:eastAsia="標楷體"/>
              </w:rPr>
              <w:t>，</w:t>
            </w:r>
            <w:r w:rsidR="00E20000" w:rsidRPr="003F2B3F">
              <w:rPr>
                <w:rFonts w:eastAsia="標楷體"/>
              </w:rPr>
              <w:t>2.</w:t>
            </w:r>
            <w:r w:rsidR="00E20000" w:rsidRPr="003F2B3F">
              <w:rPr>
                <w:rFonts w:eastAsia="標楷體"/>
              </w:rPr>
              <w:t>生物相似藥</w:t>
            </w:r>
            <w:r w:rsidR="00E20000" w:rsidRPr="003F2B3F">
              <w:rPr>
                <w:rFonts w:eastAsia="標楷體"/>
              </w:rPr>
              <w:t>(</w:t>
            </w:r>
            <w:proofErr w:type="spellStart"/>
            <w:r w:rsidR="00E20000" w:rsidRPr="003F2B3F">
              <w:rPr>
                <w:rFonts w:eastAsia="標楷體"/>
              </w:rPr>
              <w:t>Biosimilars</w:t>
            </w:r>
            <w:proofErr w:type="spellEnd"/>
            <w:r w:rsidR="00E20000" w:rsidRPr="003F2B3F">
              <w:rPr>
                <w:rFonts w:eastAsia="標楷體"/>
              </w:rPr>
              <w:t>)</w:t>
            </w:r>
            <w:r w:rsidR="00E20000" w:rsidRPr="003F2B3F">
              <w:rPr>
                <w:rFonts w:eastAsia="標楷體"/>
              </w:rPr>
              <w:t>之開發生產製造及上市銷售，</w:t>
            </w:r>
            <w:r w:rsidR="00E20000" w:rsidRPr="003F2B3F">
              <w:rPr>
                <w:rFonts w:eastAsia="標楷體"/>
              </w:rPr>
              <w:t>3.</w:t>
            </w:r>
            <w:r w:rsidR="00E20000" w:rsidRPr="003F2B3F">
              <w:rPr>
                <w:rFonts w:eastAsia="標楷體"/>
              </w:rPr>
              <w:t>優化之生技新藥開發製造銷售</w:t>
            </w:r>
            <w:r w:rsidR="00E20000" w:rsidRPr="003F2B3F">
              <w:rPr>
                <w:rFonts w:eastAsia="標楷體"/>
              </w:rPr>
              <w:t>(Me too, Me better)</w:t>
            </w:r>
            <w:r w:rsidR="00E20000" w:rsidRPr="003F2B3F">
              <w:rPr>
                <w:rFonts w:eastAsia="標楷體"/>
              </w:rPr>
              <w:t>三大方向</w:t>
            </w:r>
            <w:r w:rsidR="005C55EE" w:rsidRPr="003F2B3F">
              <w:rPr>
                <w:rFonts w:eastAsia="標楷體"/>
              </w:rPr>
              <w:t>之</w:t>
            </w:r>
            <w:r w:rsidR="00E20000" w:rsidRPr="003F2B3F">
              <w:rPr>
                <w:rFonts w:eastAsia="標楷體"/>
              </w:rPr>
              <w:t>營運項目</w:t>
            </w:r>
            <w:r w:rsidR="005C55EE" w:rsidRPr="003F2B3F">
              <w:rPr>
                <w:rFonts w:eastAsia="標楷體"/>
              </w:rPr>
              <w:t>。</w:t>
            </w:r>
          </w:p>
          <w:p w:rsidR="00C71A3C" w:rsidRPr="003F2B3F" w:rsidRDefault="00C24BD5" w:rsidP="001C1FBE">
            <w:pPr>
              <w:spacing w:line="400" w:lineRule="exact"/>
              <w:jc w:val="both"/>
              <w:rPr>
                <w:rFonts w:eastAsia="標楷體"/>
                <w:b/>
                <w:bCs/>
                <w:kern w:val="0"/>
                <w:sz w:val="40"/>
                <w:szCs w:val="40"/>
              </w:rPr>
            </w:pPr>
            <w:r w:rsidRPr="003F2B3F">
              <w:rPr>
                <w:rFonts w:eastAsia="標楷體"/>
              </w:rPr>
              <w:t xml:space="preserve">　　台康生技現行營運</w:t>
            </w:r>
            <w:proofErr w:type="gramStart"/>
            <w:r w:rsidRPr="003F2B3F">
              <w:rPr>
                <w:rFonts w:eastAsia="標楷體"/>
              </w:rPr>
              <w:t>採</w:t>
            </w:r>
            <w:proofErr w:type="gramEnd"/>
            <w:r w:rsidRPr="003F2B3F">
              <w:rPr>
                <w:rFonts w:eastAsia="標楷體"/>
              </w:rPr>
              <w:t>生技藥品委託開發生產服務</w:t>
            </w:r>
            <w:r w:rsidRPr="003F2B3F">
              <w:rPr>
                <w:rFonts w:eastAsia="標楷體"/>
              </w:rPr>
              <w:t>(CDMO)</w:t>
            </w:r>
            <w:r w:rsidRPr="003F2B3F">
              <w:rPr>
                <w:rFonts w:eastAsia="標楷體"/>
              </w:rPr>
              <w:t>與產品合作開發</w:t>
            </w:r>
            <w:r w:rsidRPr="003F2B3F">
              <w:rPr>
                <w:rFonts w:eastAsia="標楷體"/>
              </w:rPr>
              <w:t>(Profit-Sharing Product Development)</w:t>
            </w:r>
            <w:r w:rsidRPr="003F2B3F">
              <w:rPr>
                <w:rFonts w:eastAsia="標楷體"/>
              </w:rPr>
              <w:t>雙軌並進的模式，以善用公司所擁有的</w:t>
            </w:r>
            <w:r w:rsidRPr="003F2B3F">
              <w:rPr>
                <w:rFonts w:eastAsia="標楷體"/>
              </w:rPr>
              <w:t>cGMP</w:t>
            </w:r>
            <w:r w:rsidRPr="003F2B3F">
              <w:rPr>
                <w:rFonts w:eastAsia="標楷體"/>
              </w:rPr>
              <w:t>生產設備與高階技術人力。台康生技的核心競爭力主係同時擁有</w:t>
            </w:r>
            <w:r w:rsidR="00B433F9" w:rsidRPr="003F2B3F">
              <w:rPr>
                <w:rFonts w:eastAsia="標楷體"/>
              </w:rPr>
              <w:t xml:space="preserve"> Mammalian cell</w:t>
            </w:r>
            <w:r w:rsidRPr="003F2B3F">
              <w:rPr>
                <w:rFonts w:eastAsia="標楷體"/>
              </w:rPr>
              <w:t xml:space="preserve"> development (</w:t>
            </w:r>
            <w:r w:rsidR="00B433F9" w:rsidRPr="003F2B3F">
              <w:rPr>
                <w:rFonts w:eastAsia="標楷體"/>
              </w:rPr>
              <w:t>哺乳類動物細胞</w:t>
            </w:r>
            <w:r w:rsidRPr="003F2B3F">
              <w:rPr>
                <w:rFonts w:eastAsia="標楷體"/>
              </w:rPr>
              <w:t>開發</w:t>
            </w:r>
            <w:r w:rsidRPr="003F2B3F">
              <w:rPr>
                <w:rFonts w:eastAsia="標楷體"/>
              </w:rPr>
              <w:t>)</w:t>
            </w:r>
            <w:r w:rsidRPr="003F2B3F">
              <w:rPr>
                <w:rFonts w:eastAsia="標楷體"/>
              </w:rPr>
              <w:t>和</w:t>
            </w:r>
            <w:r w:rsidRPr="003F2B3F">
              <w:rPr>
                <w:rFonts w:eastAsia="標楷體"/>
              </w:rPr>
              <w:t xml:space="preserve"> Microbial </w:t>
            </w:r>
            <w:r w:rsidR="00FA63CD" w:rsidRPr="003F2B3F">
              <w:rPr>
                <w:rFonts w:eastAsia="標楷體"/>
              </w:rPr>
              <w:t>st</w:t>
            </w:r>
            <w:r w:rsidR="007F3FB6" w:rsidRPr="003F2B3F">
              <w:rPr>
                <w:rFonts w:eastAsia="標楷體"/>
              </w:rPr>
              <w:t>r</w:t>
            </w:r>
            <w:r w:rsidR="00FA63CD" w:rsidRPr="003F2B3F">
              <w:rPr>
                <w:rFonts w:eastAsia="標楷體"/>
              </w:rPr>
              <w:t xml:space="preserve">ain </w:t>
            </w:r>
            <w:r w:rsidRPr="003F2B3F">
              <w:rPr>
                <w:rFonts w:eastAsia="標楷體"/>
              </w:rPr>
              <w:t>fermentation</w:t>
            </w:r>
            <w:r w:rsidR="00FA63CD" w:rsidRPr="003F2B3F">
              <w:rPr>
                <w:rFonts w:eastAsia="標楷體"/>
              </w:rPr>
              <w:t xml:space="preserve"> development</w:t>
            </w:r>
            <w:r w:rsidRPr="003F2B3F">
              <w:rPr>
                <w:rFonts w:eastAsia="標楷體"/>
              </w:rPr>
              <w:t xml:space="preserve"> (</w:t>
            </w:r>
            <w:r w:rsidRPr="003F2B3F">
              <w:rPr>
                <w:rFonts w:eastAsia="標楷體"/>
              </w:rPr>
              <w:t>微生物</w:t>
            </w:r>
            <w:r w:rsidR="00B433F9" w:rsidRPr="003F2B3F">
              <w:rPr>
                <w:rFonts w:eastAsia="標楷體"/>
              </w:rPr>
              <w:t>細胞</w:t>
            </w:r>
            <w:r w:rsidRPr="003F2B3F">
              <w:rPr>
                <w:rFonts w:eastAsia="標楷體"/>
              </w:rPr>
              <w:t>發酵</w:t>
            </w:r>
            <w:r w:rsidR="00B433F9" w:rsidRPr="003F2B3F">
              <w:rPr>
                <w:rFonts w:eastAsia="標楷體"/>
              </w:rPr>
              <w:t>開發</w:t>
            </w:r>
            <w:r w:rsidRPr="003F2B3F">
              <w:rPr>
                <w:rFonts w:eastAsia="標楷體"/>
              </w:rPr>
              <w:t>)</w:t>
            </w:r>
            <w:r w:rsidRPr="003F2B3F">
              <w:rPr>
                <w:rFonts w:eastAsia="標楷體"/>
              </w:rPr>
              <w:t>兩大技術，並且擁有研發、製造與分析的專業能量，透過垂直整合的營運模式，掌握品質及控制成本。</w:t>
            </w:r>
          </w:p>
          <w:p w:rsidR="00C71A3C" w:rsidRPr="003F2B3F" w:rsidRDefault="00C71A3C" w:rsidP="00D87F5A">
            <w:pPr>
              <w:pStyle w:val="HTML"/>
              <w:spacing w:line="240" w:lineRule="atLeast"/>
              <w:rPr>
                <w:rFonts w:ascii="Times New Roman" w:eastAsia="標楷體" w:hAnsi="Times New Roman" w:cs="Times New Roman"/>
                <w:b/>
                <w:bCs/>
                <w:sz w:val="40"/>
                <w:szCs w:val="40"/>
              </w:rPr>
            </w:pPr>
            <w:r w:rsidRPr="003F2B3F">
              <w:rPr>
                <w:rFonts w:ascii="Times New Roman" w:eastAsia="標楷體" w:hAnsi="Times New Roman" w:cs="Times New Roman"/>
                <w:b/>
                <w:bCs/>
                <w:sz w:val="40"/>
                <w:szCs w:val="40"/>
              </w:rPr>
              <w:lastRenderedPageBreak/>
              <w:t>未來展望</w:t>
            </w:r>
          </w:p>
          <w:p w:rsidR="00E20000" w:rsidRPr="003F2B3F" w:rsidRDefault="00EE06EC" w:rsidP="00EE06EC">
            <w:pPr>
              <w:spacing w:line="400" w:lineRule="exact"/>
              <w:rPr>
                <w:rFonts w:eastAsia="標楷體"/>
              </w:rPr>
            </w:pPr>
            <w:r w:rsidRPr="003F2B3F">
              <w:rPr>
                <w:rFonts w:eastAsia="標楷體"/>
              </w:rPr>
              <w:t xml:space="preserve">    </w:t>
            </w:r>
            <w:r w:rsidR="00E20000" w:rsidRPr="003F2B3F">
              <w:rPr>
                <w:rFonts w:eastAsia="標楷體"/>
              </w:rPr>
              <w:t>鑒於生物藥價格昂貴，許多病患經濟上無法負荷且各國政府醫療成本負擔日益增高，因此</w:t>
            </w:r>
            <w:r w:rsidRPr="003F2B3F">
              <w:rPr>
                <w:rFonts w:eastAsia="標楷體"/>
              </w:rPr>
              <w:t>台康生技</w:t>
            </w:r>
            <w:r w:rsidR="00E20000" w:rsidRPr="003F2B3F">
              <w:rPr>
                <w:rFonts w:eastAsia="標楷體"/>
              </w:rPr>
              <w:t>成立之宗旨，初期目標為提供客戶高品質和符合成本效益的服務並開發具商業化之生物相似藥</w:t>
            </w:r>
            <w:r w:rsidR="00FA63CD" w:rsidRPr="003F2B3F">
              <w:rPr>
                <w:rFonts w:eastAsia="標楷體"/>
              </w:rPr>
              <w:t>(</w:t>
            </w:r>
            <w:proofErr w:type="spellStart"/>
            <w:r w:rsidR="00FA63CD" w:rsidRPr="003F2B3F">
              <w:rPr>
                <w:rFonts w:eastAsia="標楷體"/>
              </w:rPr>
              <w:t>B</w:t>
            </w:r>
            <w:r w:rsidR="00E20000" w:rsidRPr="003F2B3F">
              <w:rPr>
                <w:rFonts w:eastAsia="標楷體"/>
              </w:rPr>
              <w:t>iosimilar</w:t>
            </w:r>
            <w:proofErr w:type="spellEnd"/>
            <w:r w:rsidR="00E20000" w:rsidRPr="003F2B3F">
              <w:rPr>
                <w:rFonts w:eastAsia="標楷體"/>
              </w:rPr>
              <w:t>)</w:t>
            </w:r>
            <w:r w:rsidR="00E20000" w:rsidRPr="003F2B3F">
              <w:rPr>
                <w:rFonts w:eastAsia="標楷體"/>
              </w:rPr>
              <w:t>，中長期目標則放眼於開發生物利基藥</w:t>
            </w:r>
            <w:r w:rsidR="00FA63CD" w:rsidRPr="003F2B3F">
              <w:rPr>
                <w:rFonts w:eastAsia="標楷體"/>
              </w:rPr>
              <w:t>(Niche Biologics</w:t>
            </w:r>
            <w:r w:rsidR="00E20000" w:rsidRPr="003F2B3F">
              <w:rPr>
                <w:rFonts w:eastAsia="標楷體"/>
              </w:rPr>
              <w:t>)</w:t>
            </w:r>
            <w:r w:rsidR="00E20000" w:rsidRPr="003F2B3F">
              <w:rPr>
                <w:rFonts w:eastAsia="標楷體"/>
              </w:rPr>
              <w:t>，以增進人類及社會福祉並提高生活品質。</w:t>
            </w:r>
            <w:r w:rsidRPr="003F2B3F">
              <w:rPr>
                <w:rFonts w:eastAsia="標楷體"/>
              </w:rPr>
              <w:t>台康生技</w:t>
            </w:r>
            <w:r w:rsidR="00E20000" w:rsidRPr="003F2B3F">
              <w:rPr>
                <w:rFonts w:eastAsia="標楷體"/>
              </w:rPr>
              <w:t>之目標乃希望成為「生根台灣，放眼全球市場」之國際級生技醫藥公司。</w:t>
            </w:r>
          </w:p>
          <w:p w:rsidR="00E20000" w:rsidRPr="003F2B3F" w:rsidRDefault="00E20000" w:rsidP="00E20000">
            <w:pPr>
              <w:pStyle w:val="HTML"/>
              <w:spacing w:line="240" w:lineRule="exact"/>
              <w:rPr>
                <w:rStyle w:val="HTML0"/>
                <w:rFonts w:ascii="Times New Roman" w:eastAsia="標楷體" w:hAnsi="Times New Roman" w:cs="Times New Roman"/>
                <w:sz w:val="24"/>
                <w:szCs w:val="12"/>
              </w:rPr>
            </w:pPr>
          </w:p>
          <w:p w:rsidR="00161123" w:rsidRPr="003F2B3F" w:rsidRDefault="00161123" w:rsidP="00EE06EC">
            <w:pPr>
              <w:pStyle w:val="Web"/>
              <w:spacing w:before="0" w:beforeAutospacing="0" w:after="0" w:afterAutospacing="0" w:line="240" w:lineRule="exact"/>
              <w:rPr>
                <w:rFonts w:ascii="Times New Roman" w:eastAsia="標楷體" w:hAnsi="Times New Roman" w:cs="Times New Roman"/>
              </w:rPr>
            </w:pPr>
          </w:p>
        </w:tc>
      </w:tr>
    </w:tbl>
    <w:p w:rsidR="00E42C70" w:rsidRDefault="00161123" w:rsidP="005C55EE">
      <w:pPr>
        <w:jc w:val="both"/>
      </w:pPr>
      <w:r w:rsidRPr="00D87F5A">
        <w:lastRenderedPageBreak/>
        <w:t xml:space="preserve">   </w:t>
      </w:r>
    </w:p>
    <w:p w:rsidR="00E42C70" w:rsidRPr="003F2B3F" w:rsidRDefault="00E42C70" w:rsidP="005C55EE">
      <w:pPr>
        <w:jc w:val="both"/>
        <w:rPr>
          <w:rFonts w:eastAsia="標楷體"/>
        </w:rPr>
      </w:pPr>
    </w:p>
    <w:p w:rsidR="00E20000" w:rsidRPr="003F2B3F" w:rsidRDefault="00E20000" w:rsidP="005C55EE">
      <w:pPr>
        <w:jc w:val="both"/>
        <w:rPr>
          <w:rFonts w:eastAsia="標楷體"/>
          <w:b/>
          <w:bCs/>
          <w:sz w:val="40"/>
          <w:szCs w:val="40"/>
        </w:rPr>
      </w:pPr>
      <w:r w:rsidRPr="003F2B3F">
        <w:rPr>
          <w:rFonts w:eastAsia="標楷體"/>
          <w:b/>
          <w:bCs/>
          <w:sz w:val="40"/>
          <w:szCs w:val="40"/>
        </w:rPr>
        <w:t>歷史沿革</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608"/>
      </w:tblGrid>
      <w:tr w:rsidR="005C55EE" w:rsidRPr="003F2B3F" w:rsidTr="005C55EE">
        <w:tc>
          <w:tcPr>
            <w:tcW w:w="993" w:type="dxa"/>
          </w:tcPr>
          <w:p w:rsidR="005C55EE" w:rsidRPr="003F2B3F" w:rsidRDefault="005C55EE" w:rsidP="0021378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Chars="-11" w:hangingChars="11" w:hanging="26"/>
              <w:jc w:val="center"/>
              <w:rPr>
                <w:rFonts w:eastAsia="標楷體"/>
              </w:rPr>
            </w:pPr>
            <w:r w:rsidRPr="003F2B3F">
              <w:rPr>
                <w:rFonts w:eastAsia="標楷體"/>
              </w:rPr>
              <w:t>101</w:t>
            </w:r>
            <w:r w:rsidRPr="003F2B3F">
              <w:rPr>
                <w:rFonts w:eastAsia="標楷體"/>
              </w:rPr>
              <w:t>年</w:t>
            </w:r>
          </w:p>
        </w:tc>
        <w:tc>
          <w:tcPr>
            <w:tcW w:w="8608" w:type="dxa"/>
          </w:tcPr>
          <w:p w:rsidR="005C55EE" w:rsidRPr="003F2B3F" w:rsidRDefault="005C55EE" w:rsidP="0021378B">
            <w:pPr>
              <w:numPr>
                <w:ilvl w:val="0"/>
                <w:numId w:val="7"/>
              </w:numPr>
              <w:tabs>
                <w:tab w:val="left" w:pos="397"/>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397" w:hanging="284"/>
              <w:rPr>
                <w:rFonts w:eastAsia="標楷體"/>
              </w:rPr>
            </w:pPr>
            <w:r w:rsidRPr="003F2B3F">
              <w:rPr>
                <w:rFonts w:eastAsia="標楷體"/>
              </w:rPr>
              <w:t>台康生技股份有限公司正式成立，並於經濟部註冊成立公司。</w:t>
            </w:r>
          </w:p>
        </w:tc>
      </w:tr>
      <w:tr w:rsidR="005C55EE" w:rsidRPr="003F2B3F" w:rsidTr="005C55EE">
        <w:tc>
          <w:tcPr>
            <w:tcW w:w="993" w:type="dxa"/>
          </w:tcPr>
          <w:p w:rsidR="005C55EE" w:rsidRPr="003F2B3F" w:rsidRDefault="005C55EE" w:rsidP="0021378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Chars="-11" w:hangingChars="11" w:hanging="26"/>
              <w:jc w:val="center"/>
              <w:rPr>
                <w:rFonts w:eastAsia="標楷體"/>
              </w:rPr>
            </w:pPr>
            <w:r w:rsidRPr="003F2B3F">
              <w:rPr>
                <w:rFonts w:eastAsia="標楷體"/>
              </w:rPr>
              <w:t>102</w:t>
            </w:r>
            <w:r w:rsidRPr="003F2B3F">
              <w:rPr>
                <w:rFonts w:eastAsia="標楷體"/>
              </w:rPr>
              <w:t>年</w:t>
            </w:r>
          </w:p>
          <w:p w:rsidR="005C55EE" w:rsidRPr="003F2B3F" w:rsidRDefault="005C55EE" w:rsidP="0021378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Chars="-11" w:hangingChars="11" w:hanging="26"/>
              <w:jc w:val="center"/>
              <w:rPr>
                <w:rFonts w:eastAsia="標楷體"/>
              </w:rPr>
            </w:pPr>
          </w:p>
        </w:tc>
        <w:tc>
          <w:tcPr>
            <w:tcW w:w="8608" w:type="dxa"/>
          </w:tcPr>
          <w:p w:rsidR="005C55EE" w:rsidRPr="003F2B3F" w:rsidRDefault="005C55EE" w:rsidP="005C55EE">
            <w:pPr>
              <w:numPr>
                <w:ilvl w:val="0"/>
                <w:numId w:val="7"/>
              </w:numPr>
              <w:tabs>
                <w:tab w:val="left" w:pos="397"/>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397" w:hanging="284"/>
              <w:rPr>
                <w:rFonts w:eastAsia="標楷體"/>
              </w:rPr>
            </w:pPr>
            <w:r w:rsidRPr="003F2B3F">
              <w:rPr>
                <w:rFonts w:eastAsia="標楷體"/>
              </w:rPr>
              <w:t>台康生技、</w:t>
            </w:r>
            <w:proofErr w:type="gramStart"/>
            <w:r w:rsidRPr="003F2B3F">
              <w:rPr>
                <w:rFonts w:eastAsia="標楷體"/>
              </w:rPr>
              <w:t>台耀化學</w:t>
            </w:r>
            <w:proofErr w:type="gramEnd"/>
            <w:r w:rsidRPr="003F2B3F">
              <w:rPr>
                <w:rFonts w:eastAsia="標楷體"/>
              </w:rPr>
              <w:t>及生技中心三方於</w:t>
            </w:r>
            <w:r w:rsidRPr="003F2B3F">
              <w:rPr>
                <w:rFonts w:eastAsia="標楷體"/>
              </w:rPr>
              <w:t>102</w:t>
            </w:r>
            <w:r w:rsidRPr="003F2B3F">
              <w:rPr>
                <w:rFonts w:eastAsia="標楷體"/>
              </w:rPr>
              <w:t>年</w:t>
            </w:r>
            <w:r w:rsidRPr="003F2B3F">
              <w:rPr>
                <w:rFonts w:eastAsia="標楷體"/>
              </w:rPr>
              <w:t>3</w:t>
            </w:r>
            <w:r w:rsidRPr="003F2B3F">
              <w:rPr>
                <w:rFonts w:eastAsia="標楷體"/>
              </w:rPr>
              <w:t>月</w:t>
            </w:r>
            <w:r w:rsidRPr="003F2B3F">
              <w:rPr>
                <w:rFonts w:eastAsia="標楷體"/>
              </w:rPr>
              <w:t>15</w:t>
            </w:r>
            <w:r w:rsidRPr="003F2B3F">
              <w:rPr>
                <w:rFonts w:eastAsia="標楷體"/>
              </w:rPr>
              <w:t>日完成合資協議書簽約，由台康生技取得經營權，並於</w:t>
            </w:r>
            <w:r w:rsidRPr="003F2B3F">
              <w:rPr>
                <w:rFonts w:eastAsia="標楷體"/>
              </w:rPr>
              <w:t>4</w:t>
            </w:r>
            <w:r w:rsidRPr="003F2B3F">
              <w:rPr>
                <w:rFonts w:eastAsia="標楷體"/>
              </w:rPr>
              <w:t>月完成移轉所有關鍵技術及研發生產的人員，同時承接原先導工廠團隊完整的核心能量，包含細胞株建立、製程開發、蛋白質特性分析及品管、及動物細胞與微生物兩座</w:t>
            </w:r>
            <w:r w:rsidRPr="003F2B3F">
              <w:rPr>
                <w:rFonts w:eastAsia="標楷體"/>
              </w:rPr>
              <w:t xml:space="preserve">TFDA </w:t>
            </w:r>
            <w:r w:rsidRPr="003F2B3F">
              <w:rPr>
                <w:rFonts w:eastAsia="標楷體"/>
              </w:rPr>
              <w:t>認證的</w:t>
            </w:r>
            <w:r w:rsidRPr="003F2B3F">
              <w:rPr>
                <w:rFonts w:eastAsia="標楷體"/>
              </w:rPr>
              <w:t>cGMP</w:t>
            </w:r>
            <w:r w:rsidRPr="003F2B3F">
              <w:rPr>
                <w:rFonts w:eastAsia="標楷體"/>
              </w:rPr>
              <w:t>廠房。</w:t>
            </w:r>
          </w:p>
          <w:p w:rsidR="005C55EE" w:rsidRPr="003F2B3F" w:rsidRDefault="005C55EE" w:rsidP="005C55EE">
            <w:pPr>
              <w:numPr>
                <w:ilvl w:val="0"/>
                <w:numId w:val="7"/>
              </w:numPr>
              <w:tabs>
                <w:tab w:val="left" w:pos="397"/>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397" w:hanging="284"/>
              <w:rPr>
                <w:rFonts w:eastAsia="標楷體"/>
              </w:rPr>
            </w:pPr>
            <w:r w:rsidRPr="003F2B3F">
              <w:rPr>
                <w:rFonts w:eastAsia="標楷體"/>
              </w:rPr>
              <w:t>11</w:t>
            </w:r>
            <w:r w:rsidRPr="003F2B3F">
              <w:rPr>
                <w:rFonts w:eastAsia="標楷體"/>
              </w:rPr>
              <w:t>月完成現金增資，公司資本額達新台幣</w:t>
            </w:r>
            <w:r w:rsidRPr="003F2B3F">
              <w:rPr>
                <w:rFonts w:eastAsia="標楷體"/>
              </w:rPr>
              <w:t>540,000</w:t>
            </w:r>
            <w:r w:rsidRPr="003F2B3F">
              <w:rPr>
                <w:rFonts w:eastAsia="標楷體"/>
              </w:rPr>
              <w:t>仟元。</w:t>
            </w:r>
          </w:p>
        </w:tc>
      </w:tr>
      <w:tr w:rsidR="005C55EE" w:rsidRPr="003F2B3F" w:rsidTr="005C55EE">
        <w:tc>
          <w:tcPr>
            <w:tcW w:w="993" w:type="dxa"/>
          </w:tcPr>
          <w:p w:rsidR="005C55EE" w:rsidRPr="003F2B3F" w:rsidRDefault="005C55EE" w:rsidP="0021378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Chars="-11" w:hangingChars="11" w:hanging="26"/>
              <w:jc w:val="center"/>
              <w:rPr>
                <w:rFonts w:eastAsia="標楷體"/>
              </w:rPr>
            </w:pPr>
            <w:r w:rsidRPr="003F2B3F">
              <w:rPr>
                <w:rFonts w:eastAsia="標楷體"/>
              </w:rPr>
              <w:t>103</w:t>
            </w:r>
            <w:r w:rsidRPr="003F2B3F">
              <w:rPr>
                <w:rFonts w:eastAsia="標楷體"/>
              </w:rPr>
              <w:t>年</w:t>
            </w:r>
          </w:p>
        </w:tc>
        <w:tc>
          <w:tcPr>
            <w:tcW w:w="8608" w:type="dxa"/>
          </w:tcPr>
          <w:p w:rsidR="005C55EE" w:rsidRPr="003F2B3F" w:rsidRDefault="005C55EE" w:rsidP="0021378B">
            <w:pPr>
              <w:numPr>
                <w:ilvl w:val="0"/>
                <w:numId w:val="7"/>
              </w:numPr>
              <w:tabs>
                <w:tab w:val="left" w:pos="397"/>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397" w:hanging="284"/>
              <w:rPr>
                <w:rFonts w:eastAsia="標楷體"/>
              </w:rPr>
            </w:pPr>
            <w:r w:rsidRPr="003F2B3F">
              <w:rPr>
                <w:rFonts w:eastAsia="標楷體"/>
              </w:rPr>
              <w:t>台康生技先導工廠取得衛生福利部食品藥物管理署國際</w:t>
            </w:r>
            <w:r w:rsidRPr="003F2B3F">
              <w:rPr>
                <w:rFonts w:eastAsia="標楷體"/>
              </w:rPr>
              <w:t>GMP</w:t>
            </w:r>
            <w:r w:rsidRPr="003F2B3F">
              <w:rPr>
                <w:rFonts w:eastAsia="標楷體"/>
              </w:rPr>
              <w:t>標準</w:t>
            </w:r>
            <w:r w:rsidRPr="003F2B3F">
              <w:rPr>
                <w:rFonts w:eastAsia="標楷體"/>
              </w:rPr>
              <w:t>(PIC/S GMP)</w:t>
            </w:r>
            <w:r w:rsidRPr="003F2B3F">
              <w:rPr>
                <w:rFonts w:eastAsia="標楷體"/>
              </w:rPr>
              <w:t>之認證。</w:t>
            </w:r>
          </w:p>
        </w:tc>
      </w:tr>
      <w:tr w:rsidR="005C55EE" w:rsidRPr="003F2B3F" w:rsidTr="005C55EE">
        <w:tc>
          <w:tcPr>
            <w:tcW w:w="993" w:type="dxa"/>
          </w:tcPr>
          <w:p w:rsidR="005C55EE" w:rsidRPr="003F2B3F" w:rsidRDefault="005C55EE" w:rsidP="0021378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Chars="-11" w:hangingChars="11" w:hanging="26"/>
              <w:jc w:val="center"/>
              <w:rPr>
                <w:rFonts w:eastAsia="標楷體"/>
              </w:rPr>
            </w:pPr>
            <w:r w:rsidRPr="003F2B3F">
              <w:rPr>
                <w:rFonts w:eastAsia="標楷體"/>
              </w:rPr>
              <w:t>104</w:t>
            </w:r>
            <w:r w:rsidRPr="003F2B3F">
              <w:rPr>
                <w:rFonts w:eastAsia="標楷體"/>
              </w:rPr>
              <w:t>年</w:t>
            </w:r>
          </w:p>
          <w:p w:rsidR="005C55EE" w:rsidRPr="003F2B3F" w:rsidRDefault="005C55EE" w:rsidP="0021378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Chars="-11" w:hangingChars="11" w:hanging="26"/>
              <w:jc w:val="center"/>
              <w:rPr>
                <w:rFonts w:eastAsia="標楷體"/>
              </w:rPr>
            </w:pPr>
          </w:p>
        </w:tc>
        <w:tc>
          <w:tcPr>
            <w:tcW w:w="8608" w:type="dxa"/>
          </w:tcPr>
          <w:p w:rsidR="0021378B" w:rsidRPr="003F2B3F" w:rsidRDefault="0021378B" w:rsidP="0021378B">
            <w:pPr>
              <w:numPr>
                <w:ilvl w:val="0"/>
                <w:numId w:val="7"/>
              </w:numPr>
              <w:tabs>
                <w:tab w:val="left" w:pos="397"/>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397" w:hanging="284"/>
              <w:rPr>
                <w:rFonts w:eastAsia="標楷體"/>
              </w:rPr>
            </w:pPr>
            <w:r w:rsidRPr="003F2B3F">
              <w:rPr>
                <w:rFonts w:eastAsia="標楷體"/>
              </w:rPr>
              <w:t>完成現金增資公司資本額達新台幣</w:t>
            </w:r>
            <w:r w:rsidRPr="003F2B3F">
              <w:rPr>
                <w:rFonts w:eastAsia="標楷體"/>
              </w:rPr>
              <w:t>790,000</w:t>
            </w:r>
            <w:r w:rsidRPr="003F2B3F">
              <w:rPr>
                <w:rFonts w:eastAsia="標楷體"/>
              </w:rPr>
              <w:t>仟元。</w:t>
            </w:r>
          </w:p>
          <w:p w:rsidR="005C55EE" w:rsidRPr="003F2B3F" w:rsidRDefault="0021378B" w:rsidP="00F40CF0">
            <w:pPr>
              <w:numPr>
                <w:ilvl w:val="0"/>
                <w:numId w:val="7"/>
              </w:numPr>
              <w:tabs>
                <w:tab w:val="left" w:pos="397"/>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397" w:hanging="284"/>
              <w:rPr>
                <w:rFonts w:eastAsia="標楷體"/>
              </w:rPr>
            </w:pPr>
            <w:r w:rsidRPr="003F2B3F">
              <w:rPr>
                <w:rFonts w:eastAsia="標楷體"/>
              </w:rPr>
              <w:t>榮獲</w:t>
            </w:r>
            <w:r w:rsidRPr="003F2B3F">
              <w:rPr>
                <w:rFonts w:eastAsia="標楷體"/>
              </w:rPr>
              <w:t>2015</w:t>
            </w:r>
            <w:r w:rsidRPr="003F2B3F">
              <w:rPr>
                <w:rFonts w:eastAsia="標楷體"/>
              </w:rPr>
              <w:t>台灣生</w:t>
            </w:r>
            <w:proofErr w:type="gramStart"/>
            <w:r w:rsidRPr="003F2B3F">
              <w:rPr>
                <w:rFonts w:eastAsia="標楷體"/>
              </w:rPr>
              <w:t>醫</w:t>
            </w:r>
            <w:proofErr w:type="gramEnd"/>
            <w:r w:rsidRPr="003F2B3F">
              <w:rPr>
                <w:rFonts w:eastAsia="標楷體"/>
              </w:rPr>
              <w:t>暨新農業產業選秀大賽生</w:t>
            </w:r>
            <w:proofErr w:type="gramStart"/>
            <w:r w:rsidRPr="003F2B3F">
              <w:rPr>
                <w:rFonts w:eastAsia="標楷體"/>
              </w:rPr>
              <w:t>醫</w:t>
            </w:r>
            <w:proofErr w:type="gramEnd"/>
            <w:r w:rsidRPr="003F2B3F">
              <w:rPr>
                <w:rFonts w:eastAsia="標楷體"/>
              </w:rPr>
              <w:t>組企業金獎。</w:t>
            </w:r>
          </w:p>
        </w:tc>
      </w:tr>
      <w:tr w:rsidR="00E20000" w:rsidRPr="00FF7515" w:rsidTr="005C55EE">
        <w:tc>
          <w:tcPr>
            <w:tcW w:w="993" w:type="dxa"/>
          </w:tcPr>
          <w:p w:rsidR="00E20000" w:rsidRPr="003F2B3F" w:rsidRDefault="00E20000" w:rsidP="0021378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Chars="-11" w:hangingChars="11" w:hanging="26"/>
              <w:jc w:val="center"/>
              <w:rPr>
                <w:rFonts w:eastAsia="標楷體"/>
              </w:rPr>
            </w:pPr>
            <w:r w:rsidRPr="003F2B3F">
              <w:rPr>
                <w:rFonts w:eastAsia="標楷體"/>
              </w:rPr>
              <w:t>105</w:t>
            </w:r>
            <w:r w:rsidRPr="003F2B3F">
              <w:rPr>
                <w:rFonts w:eastAsia="標楷體"/>
              </w:rPr>
              <w:t>年</w:t>
            </w:r>
          </w:p>
        </w:tc>
        <w:tc>
          <w:tcPr>
            <w:tcW w:w="8608" w:type="dxa"/>
          </w:tcPr>
          <w:p w:rsidR="00E20000" w:rsidRPr="00FF7515" w:rsidRDefault="00E20000" w:rsidP="0021378B">
            <w:pPr>
              <w:numPr>
                <w:ilvl w:val="0"/>
                <w:numId w:val="7"/>
              </w:numPr>
              <w:tabs>
                <w:tab w:val="left" w:pos="397"/>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397" w:hanging="284"/>
              <w:rPr>
                <w:rFonts w:eastAsia="標楷體"/>
              </w:rPr>
            </w:pPr>
            <w:r w:rsidRPr="00FF7515">
              <w:rPr>
                <w:rFonts w:eastAsia="標楷體"/>
              </w:rPr>
              <w:t>EG12014</w:t>
            </w:r>
            <w:r w:rsidRPr="00FF7515">
              <w:rPr>
                <w:rFonts w:eastAsia="標楷體" w:hint="eastAsia"/>
              </w:rPr>
              <w:t>正式在歐洲進行臨床試驗。</w:t>
            </w:r>
          </w:p>
          <w:p w:rsidR="00E20000" w:rsidRPr="00FF7515" w:rsidRDefault="00910C26" w:rsidP="0021378B">
            <w:pPr>
              <w:numPr>
                <w:ilvl w:val="0"/>
                <w:numId w:val="7"/>
              </w:numPr>
              <w:tabs>
                <w:tab w:val="left" w:pos="397"/>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spacing w:line="320" w:lineRule="exact"/>
              <w:ind w:left="397" w:hanging="284"/>
              <w:rPr>
                <w:rFonts w:eastAsia="標楷體"/>
              </w:rPr>
            </w:pPr>
            <w:r w:rsidRPr="00270410">
              <w:rPr>
                <w:rFonts w:eastAsia="標楷體" w:hint="eastAsia"/>
              </w:rPr>
              <w:t>辦理</w:t>
            </w:r>
            <w:r w:rsidR="00E20000" w:rsidRPr="00270410">
              <w:rPr>
                <w:rFonts w:eastAsia="標楷體" w:hint="eastAsia"/>
              </w:rPr>
              <w:t>現金增資</w:t>
            </w:r>
            <w:r w:rsidRPr="00270410">
              <w:rPr>
                <w:rFonts w:eastAsia="標楷體" w:hint="eastAsia"/>
              </w:rPr>
              <w:t>及執行員工認股權</w:t>
            </w:r>
            <w:r w:rsidR="00E20000" w:rsidRPr="00270410">
              <w:rPr>
                <w:rFonts w:eastAsia="標楷體" w:hint="eastAsia"/>
              </w:rPr>
              <w:t>，</w:t>
            </w:r>
            <w:r w:rsidRPr="00270410">
              <w:rPr>
                <w:rFonts w:eastAsia="標楷體" w:hint="eastAsia"/>
              </w:rPr>
              <w:t>使得</w:t>
            </w:r>
            <w:r w:rsidR="00E20000" w:rsidRPr="00270410">
              <w:rPr>
                <w:rFonts w:eastAsia="標楷體" w:hint="eastAsia"/>
              </w:rPr>
              <w:t>公司資本額達新台幣</w:t>
            </w:r>
            <w:r w:rsidRPr="00270410">
              <w:rPr>
                <w:rFonts w:eastAsia="標楷體"/>
              </w:rPr>
              <w:t>1,013,013,750</w:t>
            </w:r>
            <w:r w:rsidRPr="00270410">
              <w:rPr>
                <w:rFonts w:eastAsia="標楷體" w:hint="eastAsia"/>
              </w:rPr>
              <w:t>元</w:t>
            </w:r>
            <w:r w:rsidR="00E20000" w:rsidRPr="00270410">
              <w:rPr>
                <w:rFonts w:eastAsia="標楷體" w:hint="eastAsia"/>
              </w:rPr>
              <w:t>。</w:t>
            </w:r>
          </w:p>
        </w:tc>
      </w:tr>
    </w:tbl>
    <w:p w:rsidR="00E20000" w:rsidRPr="003F2B3F" w:rsidRDefault="00E20000" w:rsidP="00E20000">
      <w:pPr>
        <w:pStyle w:val="HTML"/>
        <w:spacing w:line="240" w:lineRule="exact"/>
        <w:rPr>
          <w:rStyle w:val="HTML0"/>
          <w:rFonts w:ascii="Times New Roman" w:eastAsia="標楷體" w:hAnsi="Times New Roman" w:cs="Times New Roman"/>
          <w:sz w:val="24"/>
          <w:szCs w:val="12"/>
        </w:rPr>
      </w:pPr>
    </w:p>
    <w:p w:rsidR="00E20000" w:rsidRPr="003F2B3F" w:rsidRDefault="00E20000">
      <w:pPr>
        <w:jc w:val="both"/>
        <w:rPr>
          <w:rFonts w:eastAsia="標楷體"/>
        </w:rPr>
      </w:pPr>
    </w:p>
    <w:p w:rsidR="00E20000" w:rsidRPr="003F2B3F" w:rsidRDefault="00E20000">
      <w:pPr>
        <w:jc w:val="both"/>
        <w:rPr>
          <w:rFonts w:eastAsia="標楷體"/>
        </w:rPr>
      </w:pPr>
    </w:p>
    <w:p w:rsidR="00161123" w:rsidRPr="003F2B3F" w:rsidRDefault="00161123">
      <w:pPr>
        <w:jc w:val="both"/>
        <w:rPr>
          <w:rFonts w:eastAsia="標楷體"/>
        </w:rPr>
      </w:pPr>
      <w:r w:rsidRPr="003F2B3F">
        <w:rPr>
          <w:rFonts w:eastAsia="標楷體"/>
        </w:rPr>
        <w:t xml:space="preserve">                                                                       </w:t>
      </w:r>
      <w:r w:rsidR="00910C26">
        <w:rPr>
          <w:rFonts w:eastAsia="標楷體"/>
          <w:noProof/>
        </w:rPr>
        <w:drawing>
          <wp:inline distT="0" distB="0" distL="0" distR="0" wp14:anchorId="24D1B242" wp14:editId="1BB04A12">
            <wp:extent cx="406400" cy="156210"/>
            <wp:effectExtent l="0" t="0" r="0" b="0"/>
            <wp:docPr id="3" name="圖片 3"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156210"/>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064"/>
        <w:gridCol w:w="4140"/>
        <w:gridCol w:w="1800"/>
        <w:gridCol w:w="1260"/>
      </w:tblGrid>
      <w:tr w:rsidR="00161123" w:rsidRPr="003F2B3F">
        <w:trPr>
          <w:cantSplit/>
        </w:trPr>
        <w:tc>
          <w:tcPr>
            <w:tcW w:w="9568" w:type="dxa"/>
            <w:gridSpan w:val="5"/>
          </w:tcPr>
          <w:bookmarkStart w:id="4" w:name="主要業務項目"/>
          <w:bookmarkEnd w:id="4"/>
          <w:p w:rsidR="004B60F2" w:rsidRPr="003F2B3F" w:rsidRDefault="00910C26" w:rsidP="00A0309F">
            <w:pPr>
              <w:spacing w:beforeLines="50" w:before="180"/>
              <w:rPr>
                <w:rFonts w:eastAsia="標楷體"/>
                <w:b/>
                <w:bCs/>
                <w:sz w:val="40"/>
                <w:szCs w:val="40"/>
              </w:rPr>
            </w:pPr>
            <w:r>
              <w:rPr>
                <w:rFonts w:eastAsia="標楷體"/>
                <w:noProof/>
                <w:sz w:val="40"/>
                <w:szCs w:val="40"/>
              </w:rPr>
              <mc:AlternateContent>
                <mc:Choice Requires="wps">
                  <w:drawing>
                    <wp:anchor distT="0" distB="0" distL="114300" distR="114300" simplePos="0" relativeHeight="251654144" behindDoc="1" locked="0" layoutInCell="1" allowOverlap="1" wp14:anchorId="551661F0" wp14:editId="56B82661">
                      <wp:simplePos x="0" y="0"/>
                      <wp:positionH relativeFrom="column">
                        <wp:posOffset>-13970</wp:posOffset>
                      </wp:positionH>
                      <wp:positionV relativeFrom="paragraph">
                        <wp:posOffset>-5715</wp:posOffset>
                      </wp:positionV>
                      <wp:extent cx="6057900" cy="564515"/>
                      <wp:effectExtent l="0" t="3810" r="4445" b="317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670" w:rsidRDefault="00545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1.1pt;margin-top:-.45pt;width:477pt;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CEH1APzwIAANQFAAAOAAAAAAAAAAAAAAAAAC4CAABkcnMvZTJvRG9j&#10;LnhtbFBLAQItABQABgAIAAAAIQD9XCxp3wAAAAcBAAAPAAAAAAAAAAAAAAAAACkFAABkcnMvZG93&#10;bnJldi54bWxQSwUGAAAAAAQABADzAAAANQYAAAAA&#10;" fillcolor="#ededed" stroked="f">
                      <v:fill rotate="t" focus="50%" type="gradient"/>
                      <v:textbox>
                        <w:txbxContent>
                          <w:p w:rsidR="00386F23" w:rsidRDefault="00386F23"/>
                        </w:txbxContent>
                      </v:textbox>
                    </v:shape>
                  </w:pict>
                </mc:Fallback>
              </mc:AlternateContent>
            </w:r>
            <w:r w:rsidR="00161123" w:rsidRPr="003F2B3F">
              <w:rPr>
                <w:rFonts w:eastAsia="標楷體"/>
                <w:b/>
                <w:bCs/>
                <w:sz w:val="40"/>
                <w:szCs w:val="40"/>
              </w:rPr>
              <w:t>主要業務項目：</w:t>
            </w:r>
          </w:p>
          <w:p w:rsidR="004B60F2" w:rsidRPr="003F2B3F" w:rsidRDefault="004B60F2" w:rsidP="006C0782">
            <w:pPr>
              <w:spacing w:afterLines="50" w:after="180" w:line="300" w:lineRule="exact"/>
              <w:rPr>
                <w:rFonts w:eastAsia="標楷體"/>
              </w:rPr>
            </w:pPr>
            <w:r w:rsidRPr="003F2B3F">
              <w:rPr>
                <w:rFonts w:eastAsia="標楷體"/>
              </w:rPr>
              <w:t>1.</w:t>
            </w:r>
            <w:r w:rsidRPr="003F2B3F">
              <w:rPr>
                <w:rFonts w:eastAsia="標楷體"/>
              </w:rPr>
              <w:t>生物藥委託研究開發暨生產服務</w:t>
            </w:r>
            <w:r w:rsidRPr="003F2B3F">
              <w:rPr>
                <w:rFonts w:eastAsia="標楷體"/>
              </w:rPr>
              <w:t>(CDMO)</w:t>
            </w:r>
          </w:p>
          <w:p w:rsidR="006C0782" w:rsidRPr="003F2B3F" w:rsidRDefault="006C0782" w:rsidP="006C0782">
            <w:pPr>
              <w:spacing w:afterLines="50" w:after="180" w:line="300" w:lineRule="exact"/>
              <w:rPr>
                <w:rFonts w:eastAsia="標楷體"/>
              </w:rPr>
            </w:pPr>
            <w:r w:rsidRPr="003F2B3F">
              <w:rPr>
                <w:rFonts w:eastAsia="標楷體"/>
              </w:rPr>
              <w:t>2.</w:t>
            </w:r>
            <w:r w:rsidRPr="003F2B3F">
              <w:rPr>
                <w:rFonts w:eastAsia="標楷體"/>
              </w:rPr>
              <w:t>生物相似藥</w:t>
            </w:r>
            <w:r w:rsidRPr="003F2B3F">
              <w:rPr>
                <w:rFonts w:eastAsia="標楷體"/>
              </w:rPr>
              <w:t>(</w:t>
            </w:r>
            <w:proofErr w:type="spellStart"/>
            <w:r w:rsidRPr="003F2B3F">
              <w:rPr>
                <w:rFonts w:eastAsia="標楷體"/>
              </w:rPr>
              <w:t>Biosimilars</w:t>
            </w:r>
            <w:proofErr w:type="spellEnd"/>
            <w:r w:rsidRPr="003F2B3F">
              <w:rPr>
                <w:rFonts w:eastAsia="標楷體"/>
              </w:rPr>
              <w:t>)</w:t>
            </w:r>
            <w:r w:rsidRPr="003F2B3F">
              <w:rPr>
                <w:rFonts w:eastAsia="標楷體"/>
              </w:rPr>
              <w:t>之開發生產製造及上市銷售</w:t>
            </w:r>
          </w:p>
          <w:p w:rsidR="00161123" w:rsidRPr="003F2B3F" w:rsidRDefault="006C0782" w:rsidP="006C0782">
            <w:pPr>
              <w:spacing w:afterLines="50" w:after="180" w:line="300" w:lineRule="exact"/>
              <w:rPr>
                <w:rFonts w:eastAsia="標楷體"/>
                <w:color w:val="333333"/>
                <w:sz w:val="23"/>
                <w:szCs w:val="23"/>
              </w:rPr>
            </w:pPr>
            <w:r w:rsidRPr="003F2B3F">
              <w:rPr>
                <w:rFonts w:eastAsia="標楷體"/>
              </w:rPr>
              <w:t>3.</w:t>
            </w:r>
            <w:r w:rsidRPr="003F2B3F">
              <w:rPr>
                <w:rFonts w:eastAsia="標楷體"/>
              </w:rPr>
              <w:t>優化之生技新藥開發製造銷售</w:t>
            </w:r>
            <w:r w:rsidRPr="003F2B3F">
              <w:rPr>
                <w:rFonts w:eastAsia="標楷體"/>
              </w:rPr>
              <w:t>(Me too, Me better)</w:t>
            </w:r>
            <w:r w:rsidR="00161123" w:rsidRPr="003F2B3F">
              <w:rPr>
                <w:rFonts w:eastAsia="標楷體"/>
              </w:rPr>
              <w:t xml:space="preserve">      </w:t>
            </w:r>
            <w:r w:rsidR="00161123" w:rsidRPr="003F2B3F">
              <w:rPr>
                <w:rFonts w:eastAsia="標楷體"/>
                <w:sz w:val="20"/>
              </w:rPr>
              <w:t xml:space="preserve">                                 </w:t>
            </w:r>
          </w:p>
        </w:tc>
      </w:tr>
      <w:tr w:rsidR="00161123" w:rsidRPr="003F2B3F" w:rsidTr="00EF18DE">
        <w:trPr>
          <w:cantSplit/>
        </w:trPr>
        <w:tc>
          <w:tcPr>
            <w:tcW w:w="9568" w:type="dxa"/>
            <w:gridSpan w:val="5"/>
            <w:shd w:val="clear" w:color="auto" w:fill="auto"/>
            <w:vAlign w:val="center"/>
          </w:tcPr>
          <w:p w:rsidR="00161123" w:rsidRPr="003F2B3F" w:rsidRDefault="00161123">
            <w:pPr>
              <w:jc w:val="both"/>
              <w:rPr>
                <w:rFonts w:eastAsia="標楷體"/>
              </w:rPr>
            </w:pPr>
            <w:r w:rsidRPr="003F2B3F">
              <w:rPr>
                <w:rFonts w:eastAsia="標楷體"/>
              </w:rPr>
              <w:lastRenderedPageBreak/>
              <w:t>公司所屬產業之上、中、下游結構圖：</w:t>
            </w:r>
          </w:p>
          <w:p w:rsidR="005665B4" w:rsidRPr="003F2B3F" w:rsidRDefault="005665B4" w:rsidP="005665B4">
            <w:pPr>
              <w:pStyle w:val="af1"/>
              <w:tabs>
                <w:tab w:val="clear" w:pos="1800"/>
                <w:tab w:val="left" w:pos="993"/>
              </w:tabs>
              <w:spacing w:before="120" w:after="120"/>
              <w:ind w:leftChars="0" w:left="0"/>
              <w:rPr>
                <w:rFonts w:eastAsia="標楷體"/>
                <w:b/>
                <w:bCs w:val="0"/>
                <w:color w:val="000000"/>
                <w:lang w:bidi="en-US"/>
              </w:rPr>
            </w:pPr>
            <w:r w:rsidRPr="003F2B3F">
              <w:rPr>
                <w:rFonts w:eastAsia="標楷體"/>
                <w:b/>
                <w:bCs w:val="0"/>
                <w:color w:val="000000"/>
                <w:lang w:bidi="en-US"/>
              </w:rPr>
              <w:t>產業上、中、下游關聯性</w:t>
            </w:r>
          </w:p>
          <w:p w:rsidR="005665B4" w:rsidRPr="003F2B3F" w:rsidRDefault="005665B4" w:rsidP="00910C26">
            <w:pPr>
              <w:spacing w:line="400" w:lineRule="atLeast"/>
              <w:jc w:val="both"/>
              <w:rPr>
                <w:rFonts w:eastAsia="標楷體"/>
              </w:rPr>
            </w:pPr>
            <w:r w:rsidRPr="003F2B3F">
              <w:rPr>
                <w:rFonts w:eastAsia="標楷體"/>
              </w:rPr>
              <w:t xml:space="preserve">    </w:t>
            </w:r>
            <w:r w:rsidRPr="003F2B3F">
              <w:rPr>
                <w:rFonts w:eastAsia="標楷體"/>
              </w:rPr>
              <w:t>新藥研發流程一般可分成新藥探索、臨床前試驗、臨床試驗、查驗登記及上市後檢測等五個階段。通常整個研發時程須花費數十年的心血與高風險資金的投入。本公司之</w:t>
            </w:r>
            <w:r w:rsidRPr="003F2B3F">
              <w:rPr>
                <w:rFonts w:eastAsia="標楷體"/>
              </w:rPr>
              <w:t>CDMO</w:t>
            </w:r>
            <w:r w:rsidRPr="003F2B3F">
              <w:rPr>
                <w:rFonts w:eastAsia="標楷體"/>
              </w:rPr>
              <w:t>業務兼具委託開發與製造能量，掌握生技藥品開發及製造的關鍵技術並擁有國際法規能力，能提供高附加價值的差異化服務。台康生技</w:t>
            </w:r>
            <w:proofErr w:type="spellStart"/>
            <w:r w:rsidRPr="003F2B3F">
              <w:rPr>
                <w:rFonts w:eastAsia="標楷體"/>
              </w:rPr>
              <w:t>cGMP</w:t>
            </w:r>
            <w:proofErr w:type="spellEnd"/>
            <w:r w:rsidR="00FA63CD" w:rsidRPr="003F2B3F">
              <w:rPr>
                <w:rFonts w:eastAsia="標楷體"/>
              </w:rPr>
              <w:t xml:space="preserve"> </w:t>
            </w:r>
            <w:r w:rsidRPr="003F2B3F">
              <w:rPr>
                <w:rFonts w:eastAsia="標楷體"/>
              </w:rPr>
              <w:t>(Current Good Manufacturing Practice)</w:t>
            </w:r>
            <w:r w:rsidRPr="003F2B3F">
              <w:rPr>
                <w:rFonts w:eastAsia="標楷體"/>
              </w:rPr>
              <w:t>廠房亦取得台灣行政院衛生署</w:t>
            </w:r>
            <w:r w:rsidRPr="003F2B3F">
              <w:rPr>
                <w:rFonts w:eastAsia="標楷體"/>
              </w:rPr>
              <w:t>(TFDA)</w:t>
            </w:r>
            <w:r w:rsidRPr="003F2B3F">
              <w:rPr>
                <w:rFonts w:eastAsia="標楷體"/>
              </w:rPr>
              <w:t>藥品優良製造規範及原料藥作業基準認證，於美國</w:t>
            </w:r>
            <w:r w:rsidRPr="003F2B3F">
              <w:rPr>
                <w:rFonts w:eastAsia="標楷體"/>
              </w:rPr>
              <w:t>FDA</w:t>
            </w:r>
            <w:r w:rsidRPr="003F2B3F">
              <w:rPr>
                <w:rFonts w:eastAsia="標楷體"/>
              </w:rPr>
              <w:t>註冊第五類</w:t>
            </w:r>
            <w:proofErr w:type="gramStart"/>
            <w:r w:rsidRPr="003F2B3F">
              <w:rPr>
                <w:rFonts w:eastAsia="標楷體"/>
              </w:rPr>
              <w:t>原料藥主檔案</w:t>
            </w:r>
            <w:proofErr w:type="gramEnd"/>
            <w:r w:rsidRPr="003F2B3F">
              <w:rPr>
                <w:rFonts w:eastAsia="標楷體"/>
              </w:rPr>
              <w:t>(Drug Master File, DMF)</w:t>
            </w:r>
            <w:r w:rsidRPr="003F2B3F">
              <w:rPr>
                <w:rFonts w:eastAsia="標楷體"/>
              </w:rPr>
              <w:t>，並於</w:t>
            </w:r>
            <w:r w:rsidRPr="003F2B3F">
              <w:rPr>
                <w:rFonts w:eastAsia="標楷體"/>
              </w:rPr>
              <w:t>2011</w:t>
            </w:r>
            <w:r w:rsidRPr="003F2B3F">
              <w:rPr>
                <w:rFonts w:eastAsia="標楷體"/>
              </w:rPr>
              <w:t>年新加坡的</w:t>
            </w:r>
            <w:proofErr w:type="spellStart"/>
            <w:r w:rsidRPr="003F2B3F">
              <w:rPr>
                <w:rFonts w:eastAsia="標楷體"/>
              </w:rPr>
              <w:t>BioPharma</w:t>
            </w:r>
            <w:proofErr w:type="spellEnd"/>
            <w:r w:rsidRPr="003F2B3F">
              <w:rPr>
                <w:rFonts w:eastAsia="標楷體"/>
              </w:rPr>
              <w:t>年會獲得亞洲最佳</w:t>
            </w:r>
            <w:r w:rsidRPr="003F2B3F">
              <w:rPr>
                <w:rFonts w:eastAsia="標楷體"/>
              </w:rPr>
              <w:t>CMO</w:t>
            </w:r>
            <w:r w:rsidRPr="003F2B3F">
              <w:rPr>
                <w:rFonts w:eastAsia="標楷體"/>
              </w:rPr>
              <w:t>殊榮。生物相似藥開發則省去新藥探索及臨床前部分試驗，但增加產品比對結構分析測試項目，著重於藥品化學製造與管控</w:t>
            </w:r>
            <w:r w:rsidRPr="003F2B3F">
              <w:rPr>
                <w:rFonts w:eastAsia="標楷體"/>
              </w:rPr>
              <w:t>(Chemistry, Manufacturing, and Controls, CMC)</w:t>
            </w:r>
            <w:r w:rsidRPr="003F2B3F">
              <w:rPr>
                <w:rFonts w:eastAsia="標楷體"/>
              </w:rPr>
              <w:t>部分。</w:t>
            </w:r>
          </w:p>
          <w:p w:rsidR="00161123" w:rsidRPr="003F2B3F" w:rsidRDefault="005665B4" w:rsidP="00910C26">
            <w:pPr>
              <w:spacing w:line="400" w:lineRule="atLeast"/>
              <w:jc w:val="both"/>
              <w:rPr>
                <w:rFonts w:eastAsia="標楷體"/>
              </w:rPr>
            </w:pPr>
            <w:r w:rsidRPr="003F2B3F">
              <w:rPr>
                <w:rFonts w:eastAsia="標楷體"/>
              </w:rPr>
              <w:t xml:space="preserve">   </w:t>
            </w:r>
            <w:r w:rsidR="00A0309F" w:rsidRPr="003F2B3F">
              <w:rPr>
                <w:rFonts w:eastAsia="標楷體"/>
              </w:rPr>
              <w:t xml:space="preserve"> </w:t>
            </w:r>
            <w:r w:rsidRPr="003F2B3F">
              <w:rPr>
                <w:rFonts w:eastAsia="標楷體"/>
              </w:rPr>
              <w:t>本公司為亞洲少數同時擁有上游哺乳動物細胞</w:t>
            </w:r>
            <w:r w:rsidRPr="003F2B3F">
              <w:rPr>
                <w:rFonts w:eastAsia="標楷體"/>
              </w:rPr>
              <w:t>(Mammalian Cell)</w:t>
            </w:r>
            <w:r w:rsidRPr="003F2B3F">
              <w:rPr>
                <w:rFonts w:eastAsia="標楷體"/>
              </w:rPr>
              <w:t>與微生物細胞發酵</w:t>
            </w:r>
            <w:r w:rsidRPr="003F2B3F">
              <w:rPr>
                <w:rFonts w:eastAsia="標楷體"/>
              </w:rPr>
              <w:t xml:space="preserve">(Microbial </w:t>
            </w:r>
            <w:r w:rsidR="007F3FB6" w:rsidRPr="003F2B3F">
              <w:rPr>
                <w:rFonts w:eastAsia="標楷體"/>
              </w:rPr>
              <w:t xml:space="preserve">strain </w:t>
            </w:r>
            <w:r w:rsidRPr="003F2B3F">
              <w:rPr>
                <w:rFonts w:eastAsia="標楷體"/>
              </w:rPr>
              <w:t>Fermentation)</w:t>
            </w:r>
            <w:r w:rsidRPr="003F2B3F">
              <w:rPr>
                <w:rFonts w:eastAsia="標楷體"/>
              </w:rPr>
              <w:t>生產之廠房設備，暨完整的下游之蛋白質純化</w:t>
            </w:r>
            <w:r w:rsidRPr="003F2B3F">
              <w:rPr>
                <w:rFonts w:eastAsia="標楷體"/>
              </w:rPr>
              <w:t>(Protein Purification)</w:t>
            </w:r>
            <w:r w:rsidRPr="003F2B3F">
              <w:rPr>
                <w:rFonts w:eastAsia="標楷體"/>
              </w:rPr>
              <w:t>系統，可提供臨床試驗用藥物試驗藥品之生產</w:t>
            </w:r>
            <w:r w:rsidRPr="003F2B3F">
              <w:rPr>
                <w:rFonts w:eastAsia="標楷體"/>
              </w:rPr>
              <w:t>(Clinical Manufacturing)</w:t>
            </w:r>
            <w:r w:rsidRPr="003F2B3F">
              <w:rPr>
                <w:rFonts w:eastAsia="標楷體"/>
              </w:rPr>
              <w:t>，並於近期擴建可供上市後商業化量產</w:t>
            </w:r>
            <w:r w:rsidRPr="003F2B3F">
              <w:rPr>
                <w:rFonts w:eastAsia="標楷體"/>
              </w:rPr>
              <w:t>(Commercial Manufacturing)</w:t>
            </w:r>
            <w:r w:rsidRPr="003F2B3F">
              <w:rPr>
                <w:rFonts w:eastAsia="標楷體"/>
              </w:rPr>
              <w:t>之廠房。本公司服務項目包括：細胞株開發、生技藥物製程開發與優化、相關分析方法</w:t>
            </w:r>
            <w:proofErr w:type="gramStart"/>
            <w:r w:rsidRPr="003F2B3F">
              <w:rPr>
                <w:rFonts w:eastAsia="標楷體"/>
              </w:rPr>
              <w:t>開發與確效</w:t>
            </w:r>
            <w:proofErr w:type="gramEnd"/>
            <w:r w:rsidRPr="003F2B3F">
              <w:rPr>
                <w:rFonts w:eastAsia="標楷體"/>
              </w:rPr>
              <w:t>、符合法規要求之品管鑑定、</w:t>
            </w:r>
            <w:r w:rsidRPr="003F2B3F">
              <w:rPr>
                <w:rFonts w:eastAsia="標楷體"/>
              </w:rPr>
              <w:t>GMP</w:t>
            </w:r>
            <w:r w:rsidRPr="003F2B3F">
              <w:rPr>
                <w:rFonts w:eastAsia="標楷體"/>
              </w:rPr>
              <w:t>試量產等各式服務。專業生技藥品化學製造與管控</w:t>
            </w:r>
            <w:r w:rsidRPr="003F2B3F">
              <w:rPr>
                <w:rFonts w:eastAsia="標楷體"/>
              </w:rPr>
              <w:t>(Chemistry, Manufacturing, and Controls, CMC)</w:t>
            </w:r>
            <w:r w:rsidRPr="003F2B3F">
              <w:rPr>
                <w:rFonts w:eastAsia="標楷體"/>
              </w:rPr>
              <w:t>之建立與客戶單一窗口專案管理機制，可提供高效率且符合國際標準之品質穩定生技藥品，並兼具安全性、療效與經濟效益。</w:t>
            </w:r>
          </w:p>
        </w:tc>
      </w:tr>
      <w:tr w:rsidR="00161123" w:rsidRPr="003F2B3F" w:rsidTr="00EF18DE">
        <w:tc>
          <w:tcPr>
            <w:tcW w:w="1304" w:type="dxa"/>
            <w:shd w:val="clear" w:color="auto" w:fill="auto"/>
            <w:vAlign w:val="center"/>
          </w:tcPr>
          <w:p w:rsidR="00161123" w:rsidRPr="003F2B3F" w:rsidRDefault="00161123">
            <w:pPr>
              <w:snapToGrid w:val="0"/>
              <w:spacing w:line="300" w:lineRule="exact"/>
              <w:jc w:val="distribute"/>
              <w:rPr>
                <w:rFonts w:eastAsia="標楷體"/>
              </w:rPr>
            </w:pPr>
            <w:r w:rsidRPr="003F2B3F">
              <w:rPr>
                <w:rFonts w:eastAsia="標楷體"/>
              </w:rPr>
              <w:t>產品名稱</w:t>
            </w:r>
          </w:p>
        </w:tc>
        <w:tc>
          <w:tcPr>
            <w:tcW w:w="1064" w:type="dxa"/>
            <w:shd w:val="clear" w:color="auto" w:fill="auto"/>
            <w:vAlign w:val="center"/>
          </w:tcPr>
          <w:p w:rsidR="00161123" w:rsidRPr="003F2B3F" w:rsidRDefault="00161123">
            <w:pPr>
              <w:pStyle w:val="a3"/>
              <w:spacing w:line="300" w:lineRule="exact"/>
              <w:rPr>
                <w:szCs w:val="24"/>
              </w:rPr>
            </w:pPr>
            <w:r w:rsidRPr="003F2B3F">
              <w:rPr>
                <w:szCs w:val="24"/>
              </w:rPr>
              <w:t>產品圖示</w:t>
            </w:r>
          </w:p>
          <w:p w:rsidR="00161123" w:rsidRPr="003F2B3F" w:rsidRDefault="00161123">
            <w:pPr>
              <w:pStyle w:val="a3"/>
              <w:spacing w:line="300" w:lineRule="exact"/>
              <w:rPr>
                <w:szCs w:val="24"/>
              </w:rPr>
            </w:pPr>
            <w:r w:rsidRPr="003F2B3F">
              <w:rPr>
                <w:szCs w:val="24"/>
              </w:rPr>
              <w:t>及介紹</w:t>
            </w:r>
          </w:p>
        </w:tc>
        <w:tc>
          <w:tcPr>
            <w:tcW w:w="4140" w:type="dxa"/>
            <w:shd w:val="clear" w:color="auto" w:fill="auto"/>
            <w:vAlign w:val="center"/>
          </w:tcPr>
          <w:p w:rsidR="00161123" w:rsidRPr="003F2B3F" w:rsidRDefault="00161123">
            <w:pPr>
              <w:pStyle w:val="a3"/>
              <w:spacing w:line="300" w:lineRule="exact"/>
              <w:rPr>
                <w:szCs w:val="24"/>
              </w:rPr>
            </w:pPr>
            <w:r w:rsidRPr="003F2B3F">
              <w:rPr>
                <w:szCs w:val="24"/>
              </w:rPr>
              <w:t>重要用途或功能</w:t>
            </w:r>
          </w:p>
        </w:tc>
        <w:tc>
          <w:tcPr>
            <w:tcW w:w="1800" w:type="dxa"/>
            <w:shd w:val="clear" w:color="auto" w:fill="auto"/>
          </w:tcPr>
          <w:p w:rsidR="005665B4" w:rsidRPr="003F2B3F" w:rsidRDefault="00161123">
            <w:pPr>
              <w:jc w:val="center"/>
              <w:rPr>
                <w:rFonts w:eastAsia="標楷體"/>
              </w:rPr>
            </w:pPr>
            <w:r w:rsidRPr="003F2B3F">
              <w:rPr>
                <w:rFonts w:eastAsia="標楷體"/>
              </w:rPr>
              <w:t>最近</w:t>
            </w:r>
            <w:proofErr w:type="gramStart"/>
            <w:r w:rsidRPr="003F2B3F">
              <w:rPr>
                <w:rFonts w:eastAsia="標楷體"/>
              </w:rPr>
              <w:t>一</w:t>
            </w:r>
            <w:proofErr w:type="gramEnd"/>
            <w:r w:rsidRPr="003F2B3F">
              <w:rPr>
                <w:rFonts w:eastAsia="標楷體"/>
              </w:rPr>
              <w:t>年度</w:t>
            </w:r>
          </w:p>
          <w:p w:rsidR="00161123" w:rsidRPr="003F2B3F" w:rsidRDefault="005665B4">
            <w:pPr>
              <w:jc w:val="center"/>
              <w:rPr>
                <w:rFonts w:eastAsia="標楷體"/>
              </w:rPr>
            </w:pPr>
            <w:r w:rsidRPr="003F2B3F">
              <w:rPr>
                <w:rFonts w:eastAsia="標楷體"/>
              </w:rPr>
              <w:t>(</w:t>
            </w:r>
            <w:proofErr w:type="gramStart"/>
            <w:r w:rsidRPr="003F2B3F">
              <w:rPr>
                <w:rFonts w:eastAsia="標楷體"/>
              </w:rPr>
              <w:t>104</w:t>
            </w:r>
            <w:proofErr w:type="gramEnd"/>
            <w:r w:rsidRPr="003F2B3F">
              <w:rPr>
                <w:rFonts w:eastAsia="標楷體"/>
              </w:rPr>
              <w:t>年度</w:t>
            </w:r>
            <w:r w:rsidRPr="003F2B3F">
              <w:rPr>
                <w:rFonts w:eastAsia="標楷體"/>
              </w:rPr>
              <w:t>)</w:t>
            </w:r>
          </w:p>
          <w:p w:rsidR="00161123" w:rsidRPr="003F2B3F" w:rsidRDefault="00161123">
            <w:pPr>
              <w:jc w:val="center"/>
              <w:rPr>
                <w:rFonts w:eastAsia="標楷體"/>
              </w:rPr>
            </w:pPr>
            <w:r w:rsidRPr="003F2B3F">
              <w:rPr>
                <w:rFonts w:eastAsia="標楷體"/>
              </w:rPr>
              <w:t>營收金額</w:t>
            </w:r>
            <w:r w:rsidRPr="003F2B3F">
              <w:rPr>
                <w:rFonts w:eastAsia="標楷體"/>
              </w:rPr>
              <w:t>(</w:t>
            </w:r>
            <w:r w:rsidRPr="003F2B3F">
              <w:rPr>
                <w:rFonts w:eastAsia="標楷體"/>
              </w:rPr>
              <w:t>仟元</w:t>
            </w:r>
            <w:r w:rsidRPr="003F2B3F">
              <w:rPr>
                <w:rFonts w:eastAsia="標楷體"/>
              </w:rPr>
              <w:t>)</w:t>
            </w:r>
          </w:p>
        </w:tc>
        <w:tc>
          <w:tcPr>
            <w:tcW w:w="1260" w:type="dxa"/>
            <w:shd w:val="clear" w:color="auto" w:fill="auto"/>
          </w:tcPr>
          <w:p w:rsidR="00161123" w:rsidRPr="003F2B3F" w:rsidRDefault="00161123">
            <w:pPr>
              <w:jc w:val="center"/>
              <w:rPr>
                <w:rFonts w:eastAsia="標楷體"/>
              </w:rPr>
            </w:pPr>
            <w:proofErr w:type="gramStart"/>
            <w:r w:rsidRPr="003F2B3F">
              <w:rPr>
                <w:rFonts w:eastAsia="標楷體"/>
              </w:rPr>
              <w:t>佔</w:t>
            </w:r>
            <w:proofErr w:type="gramEnd"/>
            <w:r w:rsidRPr="003F2B3F">
              <w:rPr>
                <w:rFonts w:eastAsia="標楷體"/>
              </w:rPr>
              <w:t>總營收</w:t>
            </w:r>
          </w:p>
          <w:p w:rsidR="00161123" w:rsidRPr="003F2B3F" w:rsidRDefault="00161123">
            <w:pPr>
              <w:jc w:val="center"/>
              <w:rPr>
                <w:rFonts w:eastAsia="標楷體"/>
              </w:rPr>
            </w:pPr>
            <w:r w:rsidRPr="003F2B3F">
              <w:rPr>
                <w:rFonts w:eastAsia="標楷體"/>
              </w:rPr>
              <w:t>比重</w:t>
            </w:r>
            <w:r w:rsidRPr="003F2B3F">
              <w:rPr>
                <w:rFonts w:eastAsia="標楷體"/>
              </w:rPr>
              <w:t>(%)</w:t>
            </w:r>
          </w:p>
        </w:tc>
      </w:tr>
      <w:tr w:rsidR="00161123" w:rsidRPr="003F2B3F" w:rsidTr="00EF18DE">
        <w:tc>
          <w:tcPr>
            <w:tcW w:w="1304" w:type="dxa"/>
            <w:shd w:val="clear" w:color="auto" w:fill="auto"/>
            <w:vAlign w:val="center"/>
          </w:tcPr>
          <w:p w:rsidR="00161123" w:rsidRPr="003F2B3F" w:rsidRDefault="005665B4" w:rsidP="005665B4">
            <w:pPr>
              <w:tabs>
                <w:tab w:val="left" w:leader="dot" w:pos="6804"/>
                <w:tab w:val="right" w:pos="7598"/>
              </w:tabs>
              <w:snapToGrid w:val="0"/>
              <w:spacing w:line="300" w:lineRule="exact"/>
              <w:rPr>
                <w:rFonts w:eastAsia="標楷體"/>
                <w:sz w:val="20"/>
              </w:rPr>
            </w:pPr>
            <w:r w:rsidRPr="003F2B3F">
              <w:rPr>
                <w:rFonts w:eastAsia="標楷體"/>
              </w:rPr>
              <w:t>生技藥品委託研發及製造生產</w:t>
            </w:r>
          </w:p>
        </w:tc>
        <w:tc>
          <w:tcPr>
            <w:tcW w:w="1064" w:type="dxa"/>
            <w:shd w:val="clear" w:color="auto" w:fill="auto"/>
            <w:vAlign w:val="center"/>
          </w:tcPr>
          <w:p w:rsidR="00161123" w:rsidRPr="003F2B3F" w:rsidRDefault="00161123">
            <w:pPr>
              <w:snapToGrid w:val="0"/>
              <w:spacing w:line="240" w:lineRule="atLeast"/>
              <w:jc w:val="center"/>
              <w:rPr>
                <w:rFonts w:eastAsia="標楷體"/>
                <w:b/>
                <w:bCs/>
                <w:color w:val="800080"/>
                <w:szCs w:val="26"/>
              </w:rPr>
            </w:pPr>
          </w:p>
        </w:tc>
        <w:tc>
          <w:tcPr>
            <w:tcW w:w="4140" w:type="dxa"/>
            <w:shd w:val="clear" w:color="auto" w:fill="auto"/>
            <w:vAlign w:val="center"/>
          </w:tcPr>
          <w:p w:rsidR="00161123" w:rsidRPr="003F2B3F" w:rsidRDefault="005665B4">
            <w:pPr>
              <w:snapToGrid w:val="0"/>
              <w:spacing w:line="240" w:lineRule="atLeast"/>
              <w:jc w:val="both"/>
              <w:rPr>
                <w:rFonts w:eastAsia="標楷體"/>
                <w:sz w:val="20"/>
                <w:szCs w:val="26"/>
              </w:rPr>
            </w:pPr>
            <w:r w:rsidRPr="003F2B3F">
              <w:rPr>
                <w:rFonts w:eastAsia="標楷體"/>
              </w:rPr>
              <w:t>台康生技營運</w:t>
            </w:r>
            <w:proofErr w:type="gramStart"/>
            <w:r w:rsidRPr="003F2B3F">
              <w:rPr>
                <w:rFonts w:eastAsia="標楷體"/>
              </w:rPr>
              <w:t>採</w:t>
            </w:r>
            <w:proofErr w:type="gramEnd"/>
            <w:r w:rsidRPr="003F2B3F">
              <w:rPr>
                <w:rFonts w:eastAsia="標楷體"/>
              </w:rPr>
              <w:t>生技藥品委託開發</w:t>
            </w:r>
            <w:r w:rsidR="00FA63CD" w:rsidRPr="003F2B3F">
              <w:rPr>
                <w:rFonts w:eastAsia="標楷體"/>
              </w:rPr>
              <w:t>暨</w:t>
            </w:r>
            <w:r w:rsidRPr="003F2B3F">
              <w:rPr>
                <w:rFonts w:eastAsia="標楷體"/>
              </w:rPr>
              <w:t>生產服務</w:t>
            </w:r>
            <w:r w:rsidRPr="003F2B3F">
              <w:rPr>
                <w:rFonts w:eastAsia="標楷體"/>
              </w:rPr>
              <w:t>(CDMO)</w:t>
            </w:r>
            <w:r w:rsidRPr="003F2B3F">
              <w:rPr>
                <w:rFonts w:eastAsia="標楷體"/>
              </w:rPr>
              <w:t>與產品合作開發</w:t>
            </w:r>
            <w:r w:rsidRPr="003F2B3F">
              <w:rPr>
                <w:rFonts w:eastAsia="標楷體"/>
              </w:rPr>
              <w:t>(Profit-Sharing Product Development)</w:t>
            </w:r>
            <w:r w:rsidRPr="003F2B3F">
              <w:rPr>
                <w:rFonts w:eastAsia="標楷體"/>
              </w:rPr>
              <w:t>雙軌並進的模式，以善用公司所擁有的</w:t>
            </w:r>
            <w:r w:rsidRPr="003F2B3F">
              <w:rPr>
                <w:rFonts w:eastAsia="標楷體"/>
              </w:rPr>
              <w:t>cGMP</w:t>
            </w:r>
            <w:r w:rsidRPr="003F2B3F">
              <w:rPr>
                <w:rFonts w:eastAsia="標楷體"/>
              </w:rPr>
              <w:t>生產設備與高階技術人力。台康生技的核心競爭力主係同時擁有</w:t>
            </w:r>
            <w:r w:rsidR="00FA63CD" w:rsidRPr="003F2B3F">
              <w:rPr>
                <w:rFonts w:eastAsia="標楷體"/>
              </w:rPr>
              <w:t xml:space="preserve"> Mammalian cell</w:t>
            </w:r>
            <w:r w:rsidRPr="003F2B3F">
              <w:rPr>
                <w:rFonts w:eastAsia="標楷體"/>
              </w:rPr>
              <w:t xml:space="preserve"> development (</w:t>
            </w:r>
            <w:r w:rsidR="00FA63CD" w:rsidRPr="003F2B3F">
              <w:rPr>
                <w:rFonts w:eastAsia="標楷體"/>
              </w:rPr>
              <w:t>哺乳類動物細胞</w:t>
            </w:r>
            <w:r w:rsidRPr="003F2B3F">
              <w:rPr>
                <w:rFonts w:eastAsia="標楷體"/>
              </w:rPr>
              <w:t>開發</w:t>
            </w:r>
            <w:r w:rsidRPr="003F2B3F">
              <w:rPr>
                <w:rFonts w:eastAsia="標楷體"/>
              </w:rPr>
              <w:t>)</w:t>
            </w:r>
            <w:r w:rsidRPr="003F2B3F">
              <w:rPr>
                <w:rFonts w:eastAsia="標楷體"/>
              </w:rPr>
              <w:t>和</w:t>
            </w:r>
            <w:r w:rsidRPr="003F2B3F">
              <w:rPr>
                <w:rFonts w:eastAsia="標楷體"/>
              </w:rPr>
              <w:t xml:space="preserve"> Microbial </w:t>
            </w:r>
            <w:r w:rsidR="00FA63CD" w:rsidRPr="003F2B3F">
              <w:rPr>
                <w:rFonts w:eastAsia="標楷體"/>
              </w:rPr>
              <w:t>st</w:t>
            </w:r>
            <w:r w:rsidR="009E32C0" w:rsidRPr="003F2B3F">
              <w:rPr>
                <w:rFonts w:eastAsia="標楷體"/>
              </w:rPr>
              <w:t>r</w:t>
            </w:r>
            <w:r w:rsidR="00FA63CD" w:rsidRPr="003F2B3F">
              <w:rPr>
                <w:rFonts w:eastAsia="標楷體"/>
              </w:rPr>
              <w:t xml:space="preserve">ain </w:t>
            </w:r>
            <w:r w:rsidRPr="003F2B3F">
              <w:rPr>
                <w:rFonts w:eastAsia="標楷體"/>
              </w:rPr>
              <w:t xml:space="preserve">fermentation </w:t>
            </w:r>
            <w:r w:rsidR="00FA63CD" w:rsidRPr="003F2B3F">
              <w:rPr>
                <w:rFonts w:eastAsia="標楷體"/>
              </w:rPr>
              <w:t xml:space="preserve">development </w:t>
            </w:r>
            <w:r w:rsidRPr="003F2B3F">
              <w:rPr>
                <w:rFonts w:eastAsia="標楷體"/>
              </w:rPr>
              <w:t>(</w:t>
            </w:r>
            <w:r w:rsidRPr="003F2B3F">
              <w:rPr>
                <w:rFonts w:eastAsia="標楷體"/>
              </w:rPr>
              <w:t>微生物</w:t>
            </w:r>
            <w:r w:rsidR="00FA63CD" w:rsidRPr="003F2B3F">
              <w:rPr>
                <w:rFonts w:eastAsia="標楷體"/>
              </w:rPr>
              <w:t>細胞</w:t>
            </w:r>
            <w:r w:rsidRPr="003F2B3F">
              <w:rPr>
                <w:rFonts w:eastAsia="標楷體"/>
              </w:rPr>
              <w:t>發酵</w:t>
            </w:r>
            <w:r w:rsidR="00FA63CD" w:rsidRPr="003F2B3F">
              <w:rPr>
                <w:rFonts w:eastAsia="標楷體"/>
              </w:rPr>
              <w:t>開發</w:t>
            </w:r>
            <w:r w:rsidRPr="003F2B3F">
              <w:rPr>
                <w:rFonts w:eastAsia="標楷體"/>
              </w:rPr>
              <w:t>)</w:t>
            </w:r>
            <w:r w:rsidRPr="003F2B3F">
              <w:rPr>
                <w:rFonts w:eastAsia="標楷體"/>
              </w:rPr>
              <w:t>兩大技術，並且擁有研發、製造與分析的專業能量，透過垂直整合的營運模式，掌握品質及控制成本。</w:t>
            </w:r>
          </w:p>
        </w:tc>
        <w:tc>
          <w:tcPr>
            <w:tcW w:w="1800" w:type="dxa"/>
            <w:shd w:val="clear" w:color="auto" w:fill="auto"/>
            <w:vAlign w:val="center"/>
          </w:tcPr>
          <w:p w:rsidR="00161123" w:rsidRPr="003F2B3F" w:rsidRDefault="005665B4" w:rsidP="005665B4">
            <w:pPr>
              <w:pStyle w:val="a4"/>
              <w:spacing w:line="300" w:lineRule="exact"/>
              <w:jc w:val="center"/>
              <w:rPr>
                <w:color w:val="auto"/>
                <w:sz w:val="24"/>
              </w:rPr>
            </w:pPr>
            <w:r w:rsidRPr="003F2B3F">
              <w:rPr>
                <w:color w:val="auto"/>
                <w:sz w:val="24"/>
              </w:rPr>
              <w:t>102,784</w:t>
            </w:r>
          </w:p>
        </w:tc>
        <w:tc>
          <w:tcPr>
            <w:tcW w:w="1260" w:type="dxa"/>
            <w:shd w:val="clear" w:color="auto" w:fill="auto"/>
            <w:vAlign w:val="center"/>
          </w:tcPr>
          <w:p w:rsidR="00161123" w:rsidRPr="003F2B3F" w:rsidRDefault="005665B4" w:rsidP="005665B4">
            <w:pPr>
              <w:pStyle w:val="a4"/>
              <w:spacing w:line="300" w:lineRule="exact"/>
              <w:jc w:val="center"/>
              <w:rPr>
                <w:color w:val="auto"/>
                <w:sz w:val="24"/>
              </w:rPr>
            </w:pPr>
            <w:r w:rsidRPr="003F2B3F">
              <w:rPr>
                <w:color w:val="auto"/>
                <w:sz w:val="24"/>
              </w:rPr>
              <w:t>100</w:t>
            </w:r>
          </w:p>
        </w:tc>
      </w:tr>
      <w:tr w:rsidR="005665B4" w:rsidRPr="003F2B3F" w:rsidTr="00EF18DE">
        <w:trPr>
          <w:cantSplit/>
        </w:trPr>
        <w:tc>
          <w:tcPr>
            <w:tcW w:w="6508" w:type="dxa"/>
            <w:gridSpan w:val="3"/>
            <w:shd w:val="clear" w:color="auto" w:fill="auto"/>
          </w:tcPr>
          <w:p w:rsidR="005665B4" w:rsidRPr="00910C26" w:rsidRDefault="005665B4" w:rsidP="005665B4">
            <w:pPr>
              <w:jc w:val="both"/>
              <w:rPr>
                <w:rFonts w:eastAsia="標楷體"/>
              </w:rPr>
            </w:pPr>
            <w:r w:rsidRPr="00270410">
              <w:rPr>
                <w:rFonts w:eastAsia="標楷體" w:hint="eastAsia"/>
              </w:rPr>
              <w:t>合</w:t>
            </w:r>
            <w:r w:rsidRPr="00270410">
              <w:rPr>
                <w:rFonts w:eastAsia="標楷體"/>
              </w:rPr>
              <w:t xml:space="preserve">     </w:t>
            </w:r>
            <w:r w:rsidRPr="00270410">
              <w:rPr>
                <w:rFonts w:eastAsia="標楷體" w:hint="eastAsia"/>
              </w:rPr>
              <w:t>計</w:t>
            </w:r>
          </w:p>
        </w:tc>
        <w:tc>
          <w:tcPr>
            <w:tcW w:w="1800" w:type="dxa"/>
            <w:shd w:val="clear" w:color="auto" w:fill="auto"/>
            <w:vAlign w:val="center"/>
          </w:tcPr>
          <w:p w:rsidR="005665B4" w:rsidRPr="003F2B3F" w:rsidRDefault="005665B4" w:rsidP="005665B4">
            <w:pPr>
              <w:pStyle w:val="a4"/>
              <w:spacing w:line="300" w:lineRule="exact"/>
              <w:jc w:val="center"/>
              <w:rPr>
                <w:color w:val="auto"/>
                <w:sz w:val="24"/>
              </w:rPr>
            </w:pPr>
            <w:r w:rsidRPr="003F2B3F">
              <w:rPr>
                <w:color w:val="auto"/>
                <w:sz w:val="24"/>
              </w:rPr>
              <w:t>102,784</w:t>
            </w:r>
          </w:p>
        </w:tc>
        <w:tc>
          <w:tcPr>
            <w:tcW w:w="1260" w:type="dxa"/>
            <w:shd w:val="clear" w:color="auto" w:fill="auto"/>
            <w:vAlign w:val="center"/>
          </w:tcPr>
          <w:p w:rsidR="005665B4" w:rsidRPr="003F2B3F" w:rsidRDefault="005665B4" w:rsidP="005665B4">
            <w:pPr>
              <w:pStyle w:val="a4"/>
              <w:spacing w:line="300" w:lineRule="exact"/>
              <w:jc w:val="center"/>
              <w:rPr>
                <w:color w:val="auto"/>
                <w:sz w:val="24"/>
              </w:rPr>
            </w:pPr>
            <w:r w:rsidRPr="003F2B3F">
              <w:rPr>
                <w:color w:val="auto"/>
                <w:sz w:val="24"/>
              </w:rPr>
              <w:t>100</w:t>
            </w:r>
          </w:p>
        </w:tc>
      </w:tr>
    </w:tbl>
    <w:p w:rsidR="00161123" w:rsidRPr="003F2B3F" w:rsidRDefault="00161123">
      <w:pPr>
        <w:jc w:val="both"/>
        <w:rPr>
          <w:rFonts w:eastAsia="標楷體"/>
        </w:rPr>
      </w:pPr>
      <w:r w:rsidRPr="003F2B3F">
        <w:rPr>
          <w:rFonts w:eastAsia="標楷體"/>
        </w:rPr>
        <w:t xml:space="preserve">                                                                          </w:t>
      </w:r>
      <w:r w:rsidR="00910C26">
        <w:rPr>
          <w:rFonts w:eastAsia="標楷體"/>
          <w:noProof/>
        </w:rPr>
        <w:drawing>
          <wp:inline distT="0" distB="0" distL="0" distR="0" wp14:anchorId="6133A0CD" wp14:editId="14ACCFD6">
            <wp:extent cx="406400" cy="156210"/>
            <wp:effectExtent l="0" t="0" r="0" b="0"/>
            <wp:docPr id="4" name="圖片 4"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156210"/>
                    </a:xfrm>
                    <a:prstGeom prst="rect">
                      <a:avLst/>
                    </a:prstGeom>
                    <a:noFill/>
                    <a:ln>
                      <a:noFill/>
                    </a:ln>
                  </pic:spPr>
                </pic:pic>
              </a:graphicData>
            </a:graphic>
          </wp:inline>
        </w:drawing>
      </w:r>
    </w:p>
    <w:p w:rsidR="00161123" w:rsidRPr="003F2B3F" w:rsidRDefault="00161123">
      <w:pPr>
        <w:rPr>
          <w:rFonts w:eastAsia="標楷體"/>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2528CB" w:rsidRPr="003F2B3F">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bookmarkStart w:id="5" w:name="最近五年度簡明損益表及申請年度截至最近月份止之自結損益表"/>
          <w:bookmarkEnd w:id="5"/>
          <w:p w:rsidR="00161123" w:rsidRPr="003F2B3F" w:rsidRDefault="00910C26">
            <w:pPr>
              <w:ind w:firstLineChars="500" w:firstLine="1200"/>
              <w:rPr>
                <w:rFonts w:eastAsia="標楷體"/>
                <w:b/>
                <w:bCs/>
                <w:sz w:val="28"/>
              </w:rPr>
            </w:pPr>
            <w:r>
              <w:rPr>
                <w:rFonts w:eastAsia="標楷體"/>
                <w:noProof/>
              </w:rPr>
              <w:lastRenderedPageBreak/>
              <mc:AlternateContent>
                <mc:Choice Requires="wps">
                  <w:drawing>
                    <wp:anchor distT="0" distB="0" distL="114300" distR="114300" simplePos="0" relativeHeight="251659264" behindDoc="1" locked="0" layoutInCell="1" allowOverlap="1" wp14:anchorId="44AE05C8" wp14:editId="6320969B">
                      <wp:simplePos x="0" y="0"/>
                      <wp:positionH relativeFrom="column">
                        <wp:posOffset>0</wp:posOffset>
                      </wp:positionH>
                      <wp:positionV relativeFrom="paragraph">
                        <wp:posOffset>-6985</wp:posOffset>
                      </wp:positionV>
                      <wp:extent cx="6642100" cy="685165"/>
                      <wp:effectExtent l="0" t="2540" r="0"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670" w:rsidRDefault="00545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0;margin-top:-.55pt;width:523pt;height:5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" fillcolor="#ededed" stroked="f">
                      <v:fill rotate="t" focus="50%" type="gradient"/>
                      <v:textbox>
                        <w:txbxContent>
                          <w:p w:rsidR="00386F23" w:rsidRDefault="00386F23"/>
                        </w:txbxContent>
                      </v:textbox>
                    </v:shape>
                  </w:pict>
                </mc:Fallback>
              </mc:AlternateContent>
            </w:r>
            <w:r w:rsidR="00161123" w:rsidRPr="003F2B3F">
              <w:rPr>
                <w:rFonts w:eastAsia="標楷體"/>
                <w:b/>
                <w:bCs/>
                <w:sz w:val="28"/>
              </w:rPr>
              <w:t>最近</w:t>
            </w:r>
            <w:proofErr w:type="gramStart"/>
            <w:r w:rsidR="00161123" w:rsidRPr="003F2B3F">
              <w:rPr>
                <w:rFonts w:eastAsia="標楷體"/>
                <w:b/>
                <w:bCs/>
                <w:sz w:val="28"/>
              </w:rPr>
              <w:t>五</w:t>
            </w:r>
            <w:proofErr w:type="gramEnd"/>
            <w:r w:rsidR="00161123" w:rsidRPr="003F2B3F">
              <w:rPr>
                <w:rFonts w:eastAsia="標楷體"/>
                <w:b/>
                <w:bCs/>
                <w:sz w:val="28"/>
              </w:rPr>
              <w:t>年度簡明損益表及申請年度截至最近月份止之</w:t>
            </w:r>
            <w:r w:rsidR="00161123" w:rsidRPr="003F2B3F">
              <w:rPr>
                <w:rFonts w:eastAsia="標楷體"/>
                <w:b/>
                <w:bCs/>
                <w:sz w:val="28"/>
                <w:u w:val="single"/>
              </w:rPr>
              <w:t>自結</w:t>
            </w:r>
            <w:r w:rsidR="00161123" w:rsidRPr="003F2B3F">
              <w:rPr>
                <w:rFonts w:eastAsia="標楷體"/>
                <w:b/>
                <w:bCs/>
                <w:sz w:val="28"/>
              </w:rPr>
              <w:t>損益表</w:t>
            </w:r>
            <w:r w:rsidR="00161123" w:rsidRPr="003F2B3F">
              <w:rPr>
                <w:rFonts w:eastAsia="標楷體"/>
                <w:b/>
                <w:bCs/>
                <w:sz w:val="28"/>
              </w:rPr>
              <w:t xml:space="preserve">  </w:t>
            </w:r>
          </w:p>
          <w:p w:rsidR="00161123" w:rsidRPr="003F2B3F" w:rsidRDefault="00161123">
            <w:pPr>
              <w:ind w:firstLineChars="3500" w:firstLine="8400"/>
              <w:rPr>
                <w:rFonts w:eastAsia="標楷體"/>
              </w:rPr>
            </w:pPr>
            <w:r w:rsidRPr="003F2B3F">
              <w:rPr>
                <w:rFonts w:eastAsia="標楷體"/>
              </w:rPr>
              <w:t>單位：新台幣仟元</w:t>
            </w:r>
            <w:r w:rsidRPr="003F2B3F">
              <w:rPr>
                <w:rFonts w:eastAsia="標楷體"/>
              </w:rPr>
              <w:t xml:space="preserve">                      </w:t>
            </w:r>
          </w:p>
        </w:tc>
      </w:tr>
      <w:tr w:rsidR="002528CB" w:rsidRPr="003F2B3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3F2B3F" w:rsidRDefault="0019438A">
            <w:pPr>
              <w:ind w:left="57" w:right="57"/>
              <w:jc w:val="right"/>
              <w:rPr>
                <w:rFonts w:eastAsia="標楷體"/>
              </w:rPr>
            </w:pPr>
            <w:r w:rsidRPr="003F2B3F">
              <w:rPr>
                <w:rFonts w:eastAsia="標楷體"/>
              </w:rPr>
              <w:t>年度</w:t>
            </w:r>
          </w:p>
          <w:p w:rsidR="0019438A" w:rsidRPr="003F2B3F" w:rsidRDefault="0019438A">
            <w:pPr>
              <w:rPr>
                <w:rFonts w:eastAsia="標楷體"/>
              </w:rPr>
            </w:pPr>
            <w:r w:rsidRPr="003F2B3F">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19438A" w:rsidRPr="003F2B3F" w:rsidRDefault="000A3EC5" w:rsidP="00161123">
            <w:pPr>
              <w:jc w:val="center"/>
              <w:rPr>
                <w:rFonts w:eastAsia="標楷體"/>
              </w:rPr>
            </w:pPr>
            <w:r w:rsidRPr="003F2B3F">
              <w:rPr>
                <w:rFonts w:eastAsia="標楷體"/>
              </w:rPr>
              <w:t>100</w:t>
            </w:r>
            <w:r w:rsidR="0019438A" w:rsidRPr="003F2B3F">
              <w:rPr>
                <w:rFonts w:eastAsia="標楷體"/>
              </w:rPr>
              <w:t>年</w:t>
            </w:r>
          </w:p>
          <w:p w:rsidR="000A3EC5" w:rsidRPr="003F2B3F" w:rsidRDefault="000A3EC5"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1)</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3F2B3F" w:rsidRDefault="000A3EC5" w:rsidP="00161123">
            <w:pPr>
              <w:jc w:val="center"/>
              <w:rPr>
                <w:rFonts w:eastAsia="標楷體"/>
              </w:rPr>
            </w:pPr>
            <w:r w:rsidRPr="003F2B3F">
              <w:rPr>
                <w:rFonts w:eastAsia="標楷體"/>
              </w:rPr>
              <w:t>101</w:t>
            </w:r>
            <w:r w:rsidR="0019438A" w:rsidRPr="003F2B3F">
              <w:rPr>
                <w:rFonts w:eastAsia="標楷體"/>
              </w:rPr>
              <w:t>年</w:t>
            </w:r>
          </w:p>
          <w:p w:rsidR="000A3EC5" w:rsidRPr="003F2B3F" w:rsidRDefault="000A3EC5"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2)</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3F2B3F" w:rsidRDefault="000A3EC5" w:rsidP="00161123">
            <w:pPr>
              <w:jc w:val="center"/>
              <w:rPr>
                <w:rFonts w:eastAsia="標楷體"/>
              </w:rPr>
            </w:pPr>
            <w:r w:rsidRPr="003F2B3F">
              <w:rPr>
                <w:rFonts w:eastAsia="標楷體"/>
              </w:rPr>
              <w:t>102</w:t>
            </w:r>
            <w:r w:rsidR="0019438A" w:rsidRPr="003F2B3F">
              <w:rPr>
                <w:rFonts w:eastAsia="標楷體"/>
              </w:rPr>
              <w:t>年</w:t>
            </w:r>
          </w:p>
          <w:p w:rsidR="000A6536" w:rsidRPr="003F2B3F" w:rsidRDefault="000A6536"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3)</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3F2B3F" w:rsidRDefault="000A3EC5" w:rsidP="00161123">
            <w:pPr>
              <w:jc w:val="center"/>
              <w:rPr>
                <w:rFonts w:eastAsia="標楷體"/>
              </w:rPr>
            </w:pPr>
            <w:r w:rsidRPr="003F2B3F">
              <w:rPr>
                <w:rFonts w:eastAsia="標楷體"/>
              </w:rPr>
              <w:t>103</w:t>
            </w:r>
            <w:r w:rsidR="0019438A" w:rsidRPr="003F2B3F">
              <w:rPr>
                <w:rFonts w:eastAsia="標楷體"/>
              </w:rPr>
              <w:t>年</w:t>
            </w:r>
          </w:p>
          <w:p w:rsidR="000A6536" w:rsidRPr="003F2B3F" w:rsidRDefault="000A6536"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4)</w:t>
            </w:r>
          </w:p>
        </w:tc>
        <w:tc>
          <w:tcPr>
            <w:tcW w:w="1322" w:type="dxa"/>
            <w:tcBorders>
              <w:top w:val="single" w:sz="6" w:space="0" w:color="auto"/>
              <w:left w:val="single" w:sz="6" w:space="0" w:color="auto"/>
              <w:bottom w:val="single" w:sz="6" w:space="0" w:color="auto"/>
              <w:right w:val="single" w:sz="4" w:space="0" w:color="auto"/>
            </w:tcBorders>
            <w:vAlign w:val="center"/>
          </w:tcPr>
          <w:p w:rsidR="0019438A" w:rsidRPr="003F2B3F" w:rsidRDefault="000A3EC5">
            <w:pPr>
              <w:jc w:val="center"/>
              <w:rPr>
                <w:rFonts w:eastAsia="標楷體"/>
              </w:rPr>
            </w:pPr>
            <w:r w:rsidRPr="003F2B3F">
              <w:rPr>
                <w:rFonts w:eastAsia="標楷體"/>
              </w:rPr>
              <w:t>104</w:t>
            </w:r>
            <w:r w:rsidR="0019438A" w:rsidRPr="003F2B3F">
              <w:rPr>
                <w:rFonts w:eastAsia="標楷體"/>
              </w:rPr>
              <w:t>年</w:t>
            </w:r>
          </w:p>
          <w:p w:rsidR="000A6536" w:rsidRPr="003F2B3F" w:rsidRDefault="000A6536">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4)</w:t>
            </w:r>
          </w:p>
        </w:tc>
        <w:tc>
          <w:tcPr>
            <w:tcW w:w="1800" w:type="dxa"/>
            <w:tcBorders>
              <w:top w:val="single" w:sz="6" w:space="0" w:color="auto"/>
              <w:left w:val="single" w:sz="4" w:space="0" w:color="auto"/>
              <w:bottom w:val="single" w:sz="6" w:space="0" w:color="auto"/>
              <w:right w:val="single" w:sz="12" w:space="0" w:color="auto"/>
            </w:tcBorders>
            <w:vAlign w:val="center"/>
          </w:tcPr>
          <w:p w:rsidR="0019438A" w:rsidRPr="003F2B3F" w:rsidRDefault="000A3EC5">
            <w:pPr>
              <w:jc w:val="center"/>
              <w:rPr>
                <w:rFonts w:eastAsia="標楷體"/>
              </w:rPr>
            </w:pPr>
            <w:r w:rsidRPr="003F2B3F">
              <w:rPr>
                <w:rFonts w:eastAsia="標楷體"/>
              </w:rPr>
              <w:t>105</w:t>
            </w:r>
            <w:r w:rsidR="0019438A" w:rsidRPr="003F2B3F">
              <w:rPr>
                <w:rFonts w:eastAsia="標楷體"/>
              </w:rPr>
              <w:t>年</w:t>
            </w:r>
            <w:proofErr w:type="gramStart"/>
            <w:r w:rsidR="0019438A" w:rsidRPr="003F2B3F">
              <w:rPr>
                <w:rFonts w:eastAsia="標楷體"/>
              </w:rPr>
              <w:t>截</w:t>
            </w:r>
            <w:proofErr w:type="gramEnd"/>
          </w:p>
          <w:p w:rsidR="0020043D" w:rsidRPr="003F2B3F" w:rsidRDefault="0019438A">
            <w:pPr>
              <w:jc w:val="center"/>
              <w:rPr>
                <w:rFonts w:eastAsia="標楷體"/>
              </w:rPr>
            </w:pPr>
            <w:r w:rsidRPr="003F2B3F">
              <w:rPr>
                <w:rFonts w:eastAsia="標楷體"/>
              </w:rPr>
              <w:t>至</w:t>
            </w:r>
            <w:r w:rsidR="00C26408" w:rsidRPr="003F2B3F">
              <w:rPr>
                <w:rFonts w:eastAsia="標楷體"/>
                <w:u w:val="single"/>
              </w:rPr>
              <w:t>9</w:t>
            </w:r>
            <w:r w:rsidRPr="003F2B3F">
              <w:rPr>
                <w:rFonts w:eastAsia="標楷體"/>
              </w:rPr>
              <w:t>月份</w:t>
            </w:r>
            <w:proofErr w:type="gramStart"/>
            <w:r w:rsidRPr="003F2B3F">
              <w:rPr>
                <w:rFonts w:eastAsia="標楷體"/>
              </w:rPr>
              <w:t>止</w:t>
            </w:r>
            <w:proofErr w:type="gramEnd"/>
          </w:p>
          <w:p w:rsidR="00611233" w:rsidRPr="003F2B3F" w:rsidRDefault="0020043D" w:rsidP="00910C26">
            <w:pPr>
              <w:jc w:val="center"/>
              <w:rPr>
                <w:rFonts w:eastAsia="標楷體"/>
                <w:b/>
                <w:u w:val="single"/>
              </w:rPr>
            </w:pPr>
            <w:r w:rsidRPr="003F2B3F">
              <w:rPr>
                <w:rFonts w:eastAsia="標楷體"/>
                <w:b/>
                <w:u w:val="single"/>
              </w:rPr>
              <w:t>(</w:t>
            </w:r>
            <w:r w:rsidRPr="003F2B3F">
              <w:rPr>
                <w:rFonts w:eastAsia="標楷體"/>
                <w:b/>
                <w:u w:val="single"/>
              </w:rPr>
              <w:t>自結數</w:t>
            </w:r>
            <w:r w:rsidRPr="003F2B3F">
              <w:rPr>
                <w:rFonts w:eastAsia="標楷體"/>
                <w:b/>
                <w:u w:val="single"/>
              </w:rPr>
              <w:t>)</w:t>
            </w:r>
            <w:r w:rsidR="00611233" w:rsidRPr="003F2B3F">
              <w:rPr>
                <w:rFonts w:eastAsia="標楷體"/>
              </w:rPr>
              <w:t>(</w:t>
            </w:r>
            <w:proofErr w:type="gramStart"/>
            <w:r w:rsidR="00611233" w:rsidRPr="003F2B3F">
              <w:rPr>
                <w:rFonts w:eastAsia="標楷體"/>
              </w:rPr>
              <w:t>註</w:t>
            </w:r>
            <w:proofErr w:type="gramEnd"/>
            <w:r w:rsidR="000A6536" w:rsidRPr="003F2B3F">
              <w:rPr>
                <w:rFonts w:eastAsia="標楷體"/>
              </w:rPr>
              <w:t>5</w:t>
            </w:r>
            <w:r w:rsidR="00611233" w:rsidRPr="003F2B3F">
              <w:rPr>
                <w:rFonts w:eastAsia="標楷體"/>
              </w:rPr>
              <w:t>)</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4B41AE" w:rsidRPr="003F2B3F" w:rsidRDefault="004B41AE" w:rsidP="004B41AE">
            <w:pPr>
              <w:jc w:val="distribute"/>
              <w:rPr>
                <w:rFonts w:eastAsia="標楷體"/>
              </w:rPr>
            </w:pPr>
            <w:r w:rsidRPr="003F2B3F">
              <w:rPr>
                <w:rFonts w:eastAsia="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8,577</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53,803</w:t>
            </w:r>
          </w:p>
        </w:tc>
        <w:tc>
          <w:tcPr>
            <w:tcW w:w="1322" w:type="dxa"/>
            <w:tcBorders>
              <w:top w:val="single" w:sz="6" w:space="0" w:color="auto"/>
              <w:left w:val="single" w:sz="6" w:space="0" w:color="auto"/>
              <w:bottom w:val="single" w:sz="6" w:space="0" w:color="auto"/>
              <w:right w:val="single" w:sz="4"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102,784</w:t>
            </w:r>
          </w:p>
        </w:tc>
        <w:tc>
          <w:tcPr>
            <w:tcW w:w="1800" w:type="dxa"/>
            <w:tcBorders>
              <w:top w:val="single" w:sz="6" w:space="0" w:color="auto"/>
              <w:left w:val="single" w:sz="4" w:space="0" w:color="auto"/>
              <w:bottom w:val="single" w:sz="6" w:space="0" w:color="auto"/>
              <w:right w:val="single" w:sz="12" w:space="0" w:color="auto"/>
            </w:tcBorders>
            <w:vAlign w:val="center"/>
          </w:tcPr>
          <w:p w:rsidR="004B41AE" w:rsidRPr="003F2B3F" w:rsidRDefault="004B41AE" w:rsidP="00113C35">
            <w:pPr>
              <w:wordWrap w:val="0"/>
              <w:ind w:right="57"/>
              <w:jc w:val="center"/>
              <w:rPr>
                <w:rFonts w:eastAsia="標楷體"/>
              </w:rPr>
            </w:pPr>
            <w:r w:rsidRPr="003F2B3F">
              <w:rPr>
                <w:rFonts w:eastAsia="標楷體"/>
              </w:rPr>
              <w:t>182,209</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4B41AE" w:rsidRPr="003F2B3F" w:rsidRDefault="004B41AE" w:rsidP="004B41AE">
            <w:pPr>
              <w:jc w:val="distribute"/>
              <w:rPr>
                <w:rFonts w:eastAsia="標楷體"/>
              </w:rPr>
            </w:pPr>
            <w:r w:rsidRPr="003F2B3F">
              <w:rPr>
                <w:rFonts w:eastAsia="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(41,529)</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(21,404)</w:t>
            </w:r>
          </w:p>
        </w:tc>
        <w:tc>
          <w:tcPr>
            <w:tcW w:w="1322" w:type="dxa"/>
            <w:tcBorders>
              <w:top w:val="single" w:sz="6" w:space="0" w:color="auto"/>
              <w:left w:val="single" w:sz="6" w:space="0" w:color="auto"/>
              <w:bottom w:val="single" w:sz="6" w:space="0" w:color="auto"/>
              <w:right w:val="single" w:sz="4"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7,417</w:t>
            </w:r>
          </w:p>
        </w:tc>
        <w:tc>
          <w:tcPr>
            <w:tcW w:w="1800" w:type="dxa"/>
            <w:tcBorders>
              <w:top w:val="single" w:sz="6" w:space="0" w:color="auto"/>
              <w:left w:val="single" w:sz="4" w:space="0" w:color="auto"/>
              <w:bottom w:val="single" w:sz="6" w:space="0" w:color="auto"/>
              <w:right w:val="single" w:sz="12" w:space="0" w:color="auto"/>
            </w:tcBorders>
            <w:vAlign w:val="center"/>
          </w:tcPr>
          <w:p w:rsidR="004B41AE" w:rsidRPr="003F2B3F" w:rsidRDefault="004B41AE" w:rsidP="00113C35">
            <w:pPr>
              <w:wordWrap w:val="0"/>
              <w:ind w:right="57"/>
              <w:jc w:val="center"/>
              <w:rPr>
                <w:rFonts w:eastAsia="標楷體"/>
              </w:rPr>
            </w:pPr>
            <w:r w:rsidRPr="003F2B3F">
              <w:rPr>
                <w:rFonts w:eastAsia="標楷體"/>
              </w:rPr>
              <w:t>66,934</w:t>
            </w:r>
          </w:p>
        </w:tc>
      </w:tr>
      <w:tr w:rsidR="002528CB" w:rsidRPr="003F2B3F">
        <w:tc>
          <w:tcPr>
            <w:tcW w:w="2098" w:type="dxa"/>
            <w:gridSpan w:val="2"/>
            <w:tcBorders>
              <w:top w:val="single" w:sz="6" w:space="0" w:color="auto"/>
              <w:left w:val="single" w:sz="12" w:space="0" w:color="auto"/>
              <w:bottom w:val="single" w:sz="6" w:space="0" w:color="auto"/>
              <w:right w:val="single" w:sz="6" w:space="0" w:color="auto"/>
            </w:tcBorders>
            <w:vAlign w:val="center"/>
          </w:tcPr>
          <w:p w:rsidR="004B41AE" w:rsidRPr="003F2B3F" w:rsidRDefault="004B41AE" w:rsidP="004B41AE">
            <w:pPr>
              <w:jc w:val="distribute"/>
              <w:rPr>
                <w:rFonts w:eastAsia="標楷體"/>
              </w:rPr>
            </w:pPr>
            <w:r w:rsidRPr="003F2B3F">
              <w:rPr>
                <w:rFonts w:eastAsia="標楷體"/>
              </w:rPr>
              <w:t>毛利率</w:t>
            </w:r>
            <w:r w:rsidRPr="003F2B3F">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(484.19)</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(39.78)</w:t>
            </w:r>
          </w:p>
        </w:tc>
        <w:tc>
          <w:tcPr>
            <w:tcW w:w="1322" w:type="dxa"/>
            <w:tcBorders>
              <w:top w:val="single" w:sz="6" w:space="0" w:color="auto"/>
              <w:left w:val="single" w:sz="6" w:space="0" w:color="auto"/>
              <w:bottom w:val="single" w:sz="6" w:space="0" w:color="auto"/>
              <w:right w:val="single" w:sz="4" w:space="0" w:color="auto"/>
            </w:tcBorders>
          </w:tcPr>
          <w:p w:rsidR="004B41AE" w:rsidRPr="003F2B3F" w:rsidRDefault="004B41AE" w:rsidP="00113C35">
            <w:pPr>
              <w:jc w:val="center"/>
              <w:rPr>
                <w:rFonts w:eastAsia="標楷體"/>
              </w:rPr>
            </w:pPr>
            <w:r w:rsidRPr="003F2B3F">
              <w:rPr>
                <w:rFonts w:eastAsia="標楷體"/>
              </w:rPr>
              <w:t>7.22</w:t>
            </w:r>
          </w:p>
        </w:tc>
        <w:tc>
          <w:tcPr>
            <w:tcW w:w="1800" w:type="dxa"/>
            <w:tcBorders>
              <w:top w:val="single" w:sz="6" w:space="0" w:color="auto"/>
              <w:left w:val="single" w:sz="4" w:space="0" w:color="auto"/>
              <w:bottom w:val="single" w:sz="6" w:space="0" w:color="auto"/>
              <w:right w:val="single" w:sz="12" w:space="0" w:color="auto"/>
            </w:tcBorders>
            <w:vAlign w:val="center"/>
          </w:tcPr>
          <w:p w:rsidR="004B41AE" w:rsidRPr="003F2B3F" w:rsidRDefault="00910C26" w:rsidP="00113C35">
            <w:pPr>
              <w:ind w:right="57"/>
              <w:jc w:val="center"/>
              <w:rPr>
                <w:rFonts w:eastAsia="標楷體"/>
              </w:rPr>
            </w:pPr>
            <w:r w:rsidRPr="00270410">
              <w:rPr>
                <w:rFonts w:eastAsia="標楷體"/>
              </w:rPr>
              <w:t>36.73</w:t>
            </w:r>
          </w:p>
        </w:tc>
      </w:tr>
      <w:tr w:rsidR="002528CB" w:rsidRPr="003F2B3F">
        <w:tc>
          <w:tcPr>
            <w:tcW w:w="2098" w:type="dxa"/>
            <w:gridSpan w:val="2"/>
            <w:tcBorders>
              <w:top w:val="single" w:sz="6" w:space="0" w:color="auto"/>
              <w:left w:val="single" w:sz="12" w:space="0" w:color="auto"/>
              <w:bottom w:val="single" w:sz="6" w:space="0" w:color="auto"/>
              <w:right w:val="single" w:sz="6" w:space="0" w:color="auto"/>
            </w:tcBorders>
            <w:vAlign w:val="center"/>
          </w:tcPr>
          <w:p w:rsidR="004B41AE" w:rsidRPr="003F2B3F" w:rsidRDefault="004B41AE" w:rsidP="004B41AE">
            <w:pPr>
              <w:jc w:val="distribute"/>
              <w:rPr>
                <w:rFonts w:eastAsia="標楷體"/>
              </w:rPr>
            </w:pPr>
            <w:r w:rsidRPr="003F2B3F">
              <w:rPr>
                <w:rFonts w:eastAsia="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858</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24,326</w:t>
            </w:r>
          </w:p>
        </w:tc>
        <w:tc>
          <w:tcPr>
            <w:tcW w:w="1322" w:type="dxa"/>
            <w:tcBorders>
              <w:top w:val="single" w:sz="6" w:space="0" w:color="auto"/>
              <w:left w:val="single" w:sz="6" w:space="0" w:color="auto"/>
              <w:bottom w:val="single" w:sz="6" w:space="0" w:color="auto"/>
              <w:right w:val="single" w:sz="4" w:space="0" w:color="auto"/>
            </w:tcBorders>
          </w:tcPr>
          <w:p w:rsidR="004B41AE" w:rsidRPr="003F2B3F" w:rsidRDefault="004B41AE" w:rsidP="00113C35">
            <w:pPr>
              <w:jc w:val="center"/>
              <w:rPr>
                <w:rFonts w:eastAsia="標楷體"/>
              </w:rPr>
            </w:pPr>
            <w:r w:rsidRPr="003F2B3F">
              <w:rPr>
                <w:rFonts w:eastAsia="標楷體"/>
              </w:rPr>
              <w:t>23,793</w:t>
            </w:r>
          </w:p>
        </w:tc>
        <w:tc>
          <w:tcPr>
            <w:tcW w:w="1800" w:type="dxa"/>
            <w:tcBorders>
              <w:top w:val="single" w:sz="6" w:space="0" w:color="auto"/>
              <w:left w:val="single" w:sz="4" w:space="0" w:color="auto"/>
              <w:bottom w:val="single" w:sz="6" w:space="0" w:color="auto"/>
              <w:right w:val="single" w:sz="12" w:space="0" w:color="auto"/>
            </w:tcBorders>
            <w:vAlign w:val="center"/>
          </w:tcPr>
          <w:p w:rsidR="004B41AE" w:rsidRPr="003F2B3F" w:rsidRDefault="004B41AE" w:rsidP="00113C35">
            <w:pPr>
              <w:ind w:right="57"/>
              <w:jc w:val="center"/>
              <w:rPr>
                <w:rFonts w:eastAsia="標楷體"/>
              </w:rPr>
            </w:pPr>
            <w:r w:rsidRPr="003F2B3F">
              <w:rPr>
                <w:rFonts w:eastAsia="標楷體"/>
              </w:rPr>
              <w:t>12,848</w:t>
            </w:r>
          </w:p>
        </w:tc>
      </w:tr>
      <w:tr w:rsidR="002528CB" w:rsidRPr="003F2B3F">
        <w:tc>
          <w:tcPr>
            <w:tcW w:w="2098" w:type="dxa"/>
            <w:gridSpan w:val="2"/>
            <w:tcBorders>
              <w:top w:val="single" w:sz="6" w:space="0" w:color="auto"/>
              <w:left w:val="single" w:sz="12" w:space="0" w:color="auto"/>
              <w:bottom w:val="single" w:sz="6" w:space="0" w:color="auto"/>
              <w:right w:val="single" w:sz="6" w:space="0" w:color="auto"/>
            </w:tcBorders>
            <w:vAlign w:val="center"/>
          </w:tcPr>
          <w:p w:rsidR="004B41AE" w:rsidRPr="003F2B3F" w:rsidRDefault="004B41AE" w:rsidP="004B41AE">
            <w:pPr>
              <w:jc w:val="distribute"/>
              <w:rPr>
                <w:rFonts w:eastAsia="標楷體"/>
              </w:rPr>
            </w:pPr>
            <w:r w:rsidRPr="003F2B3F">
              <w:rPr>
                <w:rFonts w:eastAsia="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pStyle w:val="ab"/>
              <w:snapToGrid/>
              <w:jc w:val="center"/>
              <w:rPr>
                <w:rFonts w:ascii="Times New Roman" w:eastAsia="標楷體" w:hAnsi="Times New Roman"/>
              </w:rPr>
            </w:pPr>
            <w:r w:rsidRPr="003F2B3F">
              <w:rPr>
                <w:rFonts w:ascii="Times New Roman" w:eastAsia="標楷體" w:hAnsi="Times New Roman"/>
              </w:rPr>
              <w:t>(2,371)</w:t>
            </w:r>
          </w:p>
        </w:tc>
        <w:tc>
          <w:tcPr>
            <w:tcW w:w="1322" w:type="dxa"/>
            <w:tcBorders>
              <w:top w:val="single" w:sz="6" w:space="0" w:color="auto"/>
              <w:left w:val="single" w:sz="6" w:space="0" w:color="auto"/>
              <w:bottom w:val="single" w:sz="6" w:space="0" w:color="auto"/>
              <w:right w:val="single" w:sz="4" w:space="0" w:color="auto"/>
            </w:tcBorders>
          </w:tcPr>
          <w:p w:rsidR="004B41AE" w:rsidRPr="003F2B3F" w:rsidRDefault="004B41AE" w:rsidP="00113C35">
            <w:pPr>
              <w:jc w:val="center"/>
              <w:rPr>
                <w:rFonts w:eastAsia="標楷體"/>
              </w:rPr>
            </w:pPr>
            <w:r w:rsidRPr="003F2B3F">
              <w:rPr>
                <w:rFonts w:eastAsia="標楷體"/>
              </w:rPr>
              <w:t>(443)</w:t>
            </w:r>
          </w:p>
        </w:tc>
        <w:tc>
          <w:tcPr>
            <w:tcW w:w="1800" w:type="dxa"/>
            <w:tcBorders>
              <w:top w:val="single" w:sz="6" w:space="0" w:color="auto"/>
              <w:left w:val="single" w:sz="4" w:space="0" w:color="auto"/>
              <w:bottom w:val="single" w:sz="6" w:space="0" w:color="auto"/>
              <w:right w:val="single" w:sz="12" w:space="0" w:color="auto"/>
            </w:tcBorders>
            <w:vAlign w:val="center"/>
          </w:tcPr>
          <w:p w:rsidR="004B41AE" w:rsidRPr="003F2B3F" w:rsidRDefault="004B41AE" w:rsidP="00113C35">
            <w:pPr>
              <w:ind w:right="57"/>
              <w:jc w:val="center"/>
              <w:rPr>
                <w:rFonts w:eastAsia="標楷體"/>
              </w:rPr>
            </w:pPr>
            <w:r w:rsidRPr="003F2B3F">
              <w:rPr>
                <w:rFonts w:eastAsia="標楷體"/>
              </w:rPr>
              <w:t>(3,408)</w:t>
            </w:r>
          </w:p>
        </w:tc>
      </w:tr>
      <w:tr w:rsidR="002528CB" w:rsidRPr="003F2B3F">
        <w:tc>
          <w:tcPr>
            <w:tcW w:w="2098" w:type="dxa"/>
            <w:gridSpan w:val="2"/>
            <w:tcBorders>
              <w:top w:val="single" w:sz="6" w:space="0" w:color="auto"/>
              <w:left w:val="single" w:sz="12" w:space="0" w:color="auto"/>
              <w:bottom w:val="single" w:sz="6" w:space="0" w:color="auto"/>
              <w:right w:val="single" w:sz="6" w:space="0" w:color="auto"/>
            </w:tcBorders>
            <w:vAlign w:val="center"/>
          </w:tcPr>
          <w:p w:rsidR="004B41AE" w:rsidRPr="003F2B3F" w:rsidRDefault="004B41AE" w:rsidP="004B41AE">
            <w:pPr>
              <w:jc w:val="distribute"/>
              <w:rPr>
                <w:rFonts w:eastAsia="標楷體"/>
              </w:rPr>
            </w:pPr>
            <w:r w:rsidRPr="003F2B3F">
              <w:rPr>
                <w:rFonts w:eastAsia="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snapToGrid w:val="0"/>
              <w:spacing w:line="240" w:lineRule="atLeast"/>
              <w:jc w:val="center"/>
              <w:rPr>
                <w:rFonts w:eastAsia="標楷體"/>
              </w:rPr>
            </w:pPr>
            <w:r w:rsidRPr="003F2B3F">
              <w:rPr>
                <w:rFonts w:eastAsia="標楷體"/>
              </w:rPr>
              <w:t>(3,649)</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snapToGrid w:val="0"/>
              <w:spacing w:line="240" w:lineRule="atLeast"/>
              <w:jc w:val="center"/>
              <w:rPr>
                <w:rFonts w:eastAsia="標楷體"/>
              </w:rPr>
            </w:pPr>
            <w:r w:rsidRPr="003F2B3F">
              <w:rPr>
                <w:rFonts w:eastAsia="標楷體"/>
              </w:rPr>
              <w:t>(104,788)</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(132,911)</w:t>
            </w:r>
          </w:p>
        </w:tc>
        <w:tc>
          <w:tcPr>
            <w:tcW w:w="1322" w:type="dxa"/>
            <w:tcBorders>
              <w:top w:val="single" w:sz="6" w:space="0" w:color="auto"/>
              <w:left w:val="single" w:sz="6" w:space="0" w:color="auto"/>
              <w:bottom w:val="single" w:sz="6" w:space="0" w:color="auto"/>
              <w:right w:val="single" w:sz="4"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(134,848)</w:t>
            </w:r>
          </w:p>
        </w:tc>
        <w:tc>
          <w:tcPr>
            <w:tcW w:w="1800" w:type="dxa"/>
            <w:tcBorders>
              <w:top w:val="single" w:sz="6" w:space="0" w:color="auto"/>
              <w:left w:val="single" w:sz="4" w:space="0" w:color="auto"/>
              <w:bottom w:val="single" w:sz="6" w:space="0" w:color="auto"/>
              <w:right w:val="single" w:sz="12" w:space="0" w:color="auto"/>
            </w:tcBorders>
            <w:vAlign w:val="center"/>
          </w:tcPr>
          <w:p w:rsidR="004B41AE" w:rsidRPr="003F2B3F" w:rsidRDefault="004B41AE" w:rsidP="00113C35">
            <w:pPr>
              <w:wordWrap w:val="0"/>
              <w:ind w:right="57"/>
              <w:jc w:val="center"/>
              <w:rPr>
                <w:rFonts w:eastAsia="標楷體"/>
              </w:rPr>
            </w:pPr>
            <w:r w:rsidRPr="003F2B3F">
              <w:rPr>
                <w:rFonts w:eastAsia="標楷體"/>
              </w:rPr>
              <w:t>(59,572)</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4B41AE" w:rsidRPr="003F2B3F" w:rsidRDefault="004B41AE" w:rsidP="004B41AE">
            <w:pPr>
              <w:jc w:val="distribute"/>
              <w:rPr>
                <w:rFonts w:eastAsia="標楷體"/>
              </w:rPr>
            </w:pPr>
            <w:r w:rsidRPr="003F2B3F">
              <w:rPr>
                <w:rFonts w:eastAsia="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(3,649)</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(104,788)</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(132,926)</w:t>
            </w:r>
          </w:p>
        </w:tc>
        <w:tc>
          <w:tcPr>
            <w:tcW w:w="1322" w:type="dxa"/>
            <w:tcBorders>
              <w:top w:val="single" w:sz="6" w:space="0" w:color="auto"/>
              <w:left w:val="single" w:sz="6" w:space="0" w:color="auto"/>
              <w:bottom w:val="single" w:sz="6" w:space="0" w:color="auto"/>
              <w:right w:val="single" w:sz="4"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(134,577)</w:t>
            </w:r>
          </w:p>
        </w:tc>
        <w:tc>
          <w:tcPr>
            <w:tcW w:w="1800" w:type="dxa"/>
            <w:tcBorders>
              <w:top w:val="single" w:sz="6" w:space="0" w:color="auto"/>
              <w:left w:val="single" w:sz="4" w:space="0" w:color="auto"/>
              <w:bottom w:val="single" w:sz="6" w:space="0" w:color="auto"/>
              <w:right w:val="single" w:sz="12" w:space="0" w:color="auto"/>
            </w:tcBorders>
            <w:vAlign w:val="center"/>
          </w:tcPr>
          <w:p w:rsidR="004B41AE" w:rsidRPr="003F2B3F" w:rsidRDefault="004B41AE" w:rsidP="00113C35">
            <w:pPr>
              <w:wordWrap w:val="0"/>
              <w:ind w:right="57"/>
              <w:jc w:val="center"/>
              <w:rPr>
                <w:rFonts w:eastAsia="標楷體"/>
              </w:rPr>
            </w:pPr>
            <w:r w:rsidRPr="003F2B3F">
              <w:rPr>
                <w:rFonts w:eastAsia="標楷體"/>
              </w:rPr>
              <w:t>(59,474)</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4B41AE" w:rsidRPr="003F2B3F" w:rsidRDefault="004B41AE" w:rsidP="004B41AE">
            <w:pPr>
              <w:jc w:val="distribute"/>
              <w:rPr>
                <w:rFonts w:eastAsia="標楷體"/>
              </w:rPr>
            </w:pPr>
            <w:r w:rsidRPr="003F2B3F">
              <w:rPr>
                <w:rFonts w:eastAsia="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4B41AE" w:rsidRPr="003F2B3F" w:rsidRDefault="004B41AE" w:rsidP="00113C35">
            <w:pPr>
              <w:jc w:val="center"/>
              <w:rPr>
                <w:rFonts w:eastAsia="標楷體"/>
              </w:rPr>
            </w:pPr>
            <w:r w:rsidRPr="003F2B3F">
              <w:rPr>
                <w:rFonts w:eastAsia="標楷體"/>
              </w:rPr>
              <w:t>(4.56)</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(2.72)</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(2.46)</w:t>
            </w:r>
          </w:p>
        </w:tc>
        <w:tc>
          <w:tcPr>
            <w:tcW w:w="1322" w:type="dxa"/>
            <w:tcBorders>
              <w:top w:val="single" w:sz="6" w:space="0" w:color="auto"/>
              <w:left w:val="single" w:sz="6" w:space="0" w:color="auto"/>
              <w:bottom w:val="single" w:sz="6" w:space="0" w:color="auto"/>
              <w:right w:val="single" w:sz="4" w:space="0" w:color="auto"/>
            </w:tcBorders>
            <w:vAlign w:val="center"/>
          </w:tcPr>
          <w:p w:rsidR="004B41AE" w:rsidRPr="003F2B3F" w:rsidRDefault="004B41AE" w:rsidP="00113C35">
            <w:pPr>
              <w:spacing w:line="280" w:lineRule="exact"/>
              <w:ind w:rightChars="20" w:right="48"/>
              <w:jc w:val="center"/>
              <w:rPr>
                <w:rFonts w:eastAsia="標楷體"/>
              </w:rPr>
            </w:pPr>
            <w:r w:rsidRPr="003F2B3F">
              <w:rPr>
                <w:rFonts w:eastAsia="標楷體"/>
              </w:rPr>
              <w:t>(1.69)</w:t>
            </w:r>
          </w:p>
        </w:tc>
        <w:tc>
          <w:tcPr>
            <w:tcW w:w="1800" w:type="dxa"/>
            <w:tcBorders>
              <w:top w:val="single" w:sz="6" w:space="0" w:color="auto"/>
              <w:left w:val="single" w:sz="4" w:space="0" w:color="auto"/>
              <w:bottom w:val="single" w:sz="6" w:space="0" w:color="auto"/>
              <w:right w:val="single" w:sz="12" w:space="0" w:color="auto"/>
            </w:tcBorders>
            <w:vAlign w:val="center"/>
          </w:tcPr>
          <w:p w:rsidR="004B41AE" w:rsidRPr="003F2B3F" w:rsidRDefault="004B41AE" w:rsidP="00113C35">
            <w:pPr>
              <w:wordWrap w:val="0"/>
              <w:ind w:right="57"/>
              <w:jc w:val="center"/>
              <w:rPr>
                <w:rFonts w:eastAsia="標楷體"/>
              </w:rPr>
            </w:pPr>
            <w:r w:rsidRPr="003F2B3F">
              <w:rPr>
                <w:rFonts w:eastAsia="標楷體"/>
              </w:rPr>
              <w:t>(0.62)</w:t>
            </w:r>
          </w:p>
        </w:tc>
      </w:tr>
      <w:tr w:rsidR="002528CB" w:rsidRPr="003F2B3F" w:rsidTr="00E060F0">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4B41AE" w:rsidRPr="003F2B3F" w:rsidRDefault="004B41AE" w:rsidP="004B41AE">
            <w:pPr>
              <w:jc w:val="distribute"/>
              <w:rPr>
                <w:rFonts w:eastAsia="標楷體"/>
              </w:rPr>
            </w:pPr>
            <w:r w:rsidRPr="003F2B3F">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4B41AE" w:rsidRPr="003F2B3F" w:rsidRDefault="004B41AE" w:rsidP="004B41AE">
            <w:pPr>
              <w:jc w:val="distribute"/>
              <w:rPr>
                <w:rFonts w:eastAsia="標楷體"/>
              </w:rPr>
            </w:pPr>
            <w:r w:rsidRPr="003F2B3F">
              <w:rPr>
                <w:rFonts w:eastAsia="標楷體"/>
              </w:rPr>
              <w:t>現金股利</w:t>
            </w:r>
            <w:r w:rsidRPr="003F2B3F">
              <w:rPr>
                <w:rFonts w:eastAsia="標楷體"/>
              </w:rPr>
              <w:t>(</w:t>
            </w:r>
            <w:r w:rsidRPr="003F2B3F">
              <w:rPr>
                <w:rFonts w:eastAsia="標楷體"/>
              </w:rPr>
              <w:t>元</w:t>
            </w:r>
            <w:r w:rsidRPr="003F2B3F">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2" w:type="dxa"/>
            <w:tcBorders>
              <w:top w:val="single" w:sz="6" w:space="0" w:color="auto"/>
              <w:left w:val="single" w:sz="6" w:space="0" w:color="auto"/>
              <w:bottom w:val="single" w:sz="6" w:space="0" w:color="auto"/>
              <w:right w:val="single" w:sz="4"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4B41AE" w:rsidRPr="003F2B3F" w:rsidRDefault="004B41AE" w:rsidP="00113C35">
            <w:pPr>
              <w:ind w:right="113"/>
              <w:jc w:val="center"/>
              <w:rPr>
                <w:rFonts w:eastAsia="標楷體"/>
              </w:rPr>
            </w:pPr>
            <w:r w:rsidRPr="003F2B3F">
              <w:rPr>
                <w:rFonts w:eastAsia="標楷體"/>
              </w:rPr>
              <w:t>-</w:t>
            </w:r>
          </w:p>
        </w:tc>
      </w:tr>
      <w:tr w:rsidR="002528CB" w:rsidRPr="003F2B3F" w:rsidTr="00E060F0">
        <w:trPr>
          <w:cantSplit/>
        </w:trPr>
        <w:tc>
          <w:tcPr>
            <w:tcW w:w="568" w:type="dxa"/>
            <w:vMerge/>
            <w:tcBorders>
              <w:left w:val="single" w:sz="12" w:space="0" w:color="auto"/>
              <w:bottom w:val="single" w:sz="6" w:space="0" w:color="auto"/>
              <w:right w:val="single" w:sz="4" w:space="0" w:color="auto"/>
            </w:tcBorders>
            <w:vAlign w:val="center"/>
          </w:tcPr>
          <w:p w:rsidR="004B41AE" w:rsidRPr="003F2B3F" w:rsidRDefault="004B41AE" w:rsidP="004B41AE">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4B41AE" w:rsidRPr="003F2B3F" w:rsidRDefault="004B41AE" w:rsidP="004B41AE">
            <w:pPr>
              <w:jc w:val="both"/>
              <w:rPr>
                <w:rFonts w:eastAsia="標楷體"/>
              </w:rPr>
            </w:pPr>
            <w:r w:rsidRPr="003F2B3F">
              <w:rPr>
                <w:rFonts w:eastAsia="標楷體"/>
              </w:rPr>
              <w:t>股票股利</w:t>
            </w:r>
            <w:r w:rsidRPr="003F2B3F">
              <w:rPr>
                <w:rFonts w:eastAsia="標楷體"/>
              </w:rPr>
              <w:t>(</w:t>
            </w:r>
            <w:r w:rsidRPr="003F2B3F">
              <w:rPr>
                <w:rFonts w:eastAsia="標楷體"/>
              </w:rPr>
              <w:t>資本公積轉增資</w:t>
            </w:r>
            <w:r w:rsidRPr="003F2B3F">
              <w:rPr>
                <w:rFonts w:eastAsia="標楷體"/>
              </w:rPr>
              <w:t>)(</w:t>
            </w:r>
            <w:r w:rsidRPr="003F2B3F">
              <w:rPr>
                <w:rFonts w:eastAsia="標楷體"/>
              </w:rPr>
              <w:t>元</w:t>
            </w:r>
            <w:r w:rsidRPr="003F2B3F">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2" w:type="dxa"/>
            <w:tcBorders>
              <w:top w:val="single" w:sz="6" w:space="0" w:color="auto"/>
              <w:left w:val="single" w:sz="6" w:space="0" w:color="auto"/>
              <w:bottom w:val="single" w:sz="6" w:space="0" w:color="auto"/>
              <w:right w:val="single" w:sz="4"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4B41AE" w:rsidRPr="003F2B3F" w:rsidRDefault="004B41AE" w:rsidP="00113C35">
            <w:pPr>
              <w:ind w:right="113"/>
              <w:jc w:val="center"/>
              <w:rPr>
                <w:rFonts w:eastAsia="標楷體"/>
              </w:rPr>
            </w:pPr>
            <w:r w:rsidRPr="003F2B3F">
              <w:rPr>
                <w:rFonts w:eastAsia="標楷體"/>
              </w:rPr>
              <w:t>-</w:t>
            </w:r>
          </w:p>
        </w:tc>
      </w:tr>
      <w:tr w:rsidR="002528CB" w:rsidRPr="003F2B3F" w:rsidTr="00E060F0">
        <w:trPr>
          <w:cantSplit/>
        </w:trPr>
        <w:tc>
          <w:tcPr>
            <w:tcW w:w="568" w:type="dxa"/>
            <w:vMerge/>
            <w:tcBorders>
              <w:left w:val="single" w:sz="12" w:space="0" w:color="auto"/>
              <w:bottom w:val="single" w:sz="6" w:space="0" w:color="auto"/>
              <w:right w:val="single" w:sz="4" w:space="0" w:color="auto"/>
            </w:tcBorders>
            <w:vAlign w:val="center"/>
          </w:tcPr>
          <w:p w:rsidR="004B41AE" w:rsidRPr="003F2B3F" w:rsidRDefault="004B41AE" w:rsidP="004B41AE">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4B41AE" w:rsidRPr="003F2B3F" w:rsidRDefault="004B41AE" w:rsidP="004B41AE">
            <w:pPr>
              <w:jc w:val="both"/>
              <w:rPr>
                <w:rFonts w:eastAsia="標楷體"/>
              </w:rPr>
            </w:pPr>
            <w:r w:rsidRPr="003F2B3F">
              <w:rPr>
                <w:rFonts w:eastAsia="標楷體"/>
              </w:rPr>
              <w:t>股票股利</w:t>
            </w:r>
            <w:r w:rsidRPr="003F2B3F">
              <w:rPr>
                <w:rFonts w:eastAsia="標楷體"/>
              </w:rPr>
              <w:t>(</w:t>
            </w:r>
            <w:r w:rsidRPr="003F2B3F">
              <w:rPr>
                <w:rFonts w:eastAsia="標楷體"/>
              </w:rPr>
              <w:t>盈餘轉增資</w:t>
            </w:r>
            <w:r w:rsidRPr="003F2B3F">
              <w:rPr>
                <w:rFonts w:eastAsia="標楷體"/>
              </w:rPr>
              <w:t>)(</w:t>
            </w:r>
            <w:r w:rsidRPr="003F2B3F">
              <w:rPr>
                <w:rFonts w:eastAsia="標楷體"/>
              </w:rPr>
              <w:t>元</w:t>
            </w:r>
            <w:r w:rsidRPr="003F2B3F">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322" w:type="dxa"/>
            <w:tcBorders>
              <w:top w:val="single" w:sz="6" w:space="0" w:color="auto"/>
              <w:left w:val="single" w:sz="6" w:space="0" w:color="auto"/>
              <w:bottom w:val="single" w:sz="6" w:space="0" w:color="auto"/>
              <w:right w:val="single" w:sz="4" w:space="0" w:color="auto"/>
            </w:tcBorders>
            <w:vAlign w:val="center"/>
          </w:tcPr>
          <w:p w:rsidR="004B41AE" w:rsidRPr="003F2B3F" w:rsidRDefault="004B41AE" w:rsidP="00113C35">
            <w:pPr>
              <w:ind w:right="113"/>
              <w:jc w:val="center"/>
              <w:rPr>
                <w:rFonts w:eastAsia="標楷體"/>
              </w:rPr>
            </w:pPr>
            <w:r w:rsidRPr="003F2B3F">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4B41AE" w:rsidRPr="003F2B3F" w:rsidRDefault="004B41AE" w:rsidP="00113C35">
            <w:pPr>
              <w:ind w:right="113"/>
              <w:jc w:val="center"/>
              <w:rPr>
                <w:rFonts w:eastAsia="標楷體"/>
              </w:rPr>
            </w:pPr>
            <w:r w:rsidRPr="003F2B3F">
              <w:rPr>
                <w:rFonts w:eastAsia="標楷體"/>
              </w:rPr>
              <w:t>-</w:t>
            </w:r>
          </w:p>
        </w:tc>
      </w:tr>
    </w:tbl>
    <w:p w:rsidR="000A3EC5" w:rsidRPr="003F2B3F" w:rsidRDefault="000A3EC5" w:rsidP="0020043D">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3F2B3F">
        <w:rPr>
          <w:rFonts w:ascii="Times New Roman" w:eastAsia="標楷體" w:hAnsi="Times New Roman" w:cs="Times New Roman"/>
        </w:rPr>
        <w:t>註</w:t>
      </w:r>
      <w:proofErr w:type="gramEnd"/>
      <w:r w:rsidRPr="003F2B3F">
        <w:rPr>
          <w:rFonts w:ascii="Times New Roman" w:eastAsia="標楷體" w:hAnsi="Times New Roman" w:cs="Times New Roman"/>
        </w:rPr>
        <w:t>1</w:t>
      </w:r>
      <w:r w:rsidRPr="003F2B3F">
        <w:rPr>
          <w:rFonts w:ascii="Times New Roman" w:eastAsia="標楷體" w:hAnsi="Times New Roman" w:cs="Times New Roman"/>
        </w:rPr>
        <w:t>：本公司成立日期為</w:t>
      </w:r>
      <w:r w:rsidRPr="003F2B3F">
        <w:rPr>
          <w:rFonts w:ascii="Times New Roman" w:eastAsia="標楷體" w:hAnsi="Times New Roman" w:cs="Times New Roman"/>
        </w:rPr>
        <w:t>101.12.21</w:t>
      </w:r>
      <w:r w:rsidR="004B27E0" w:rsidRPr="003F2B3F">
        <w:rPr>
          <w:rFonts w:ascii="Times New Roman" w:eastAsia="標楷體" w:hAnsi="Times New Roman" w:cs="Times New Roman"/>
        </w:rPr>
        <w:t>。</w:t>
      </w:r>
    </w:p>
    <w:p w:rsidR="000A3EC5" w:rsidRPr="003F2B3F" w:rsidRDefault="000A3EC5" w:rsidP="0020043D">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3F2B3F">
        <w:rPr>
          <w:rFonts w:ascii="Times New Roman" w:eastAsia="標楷體" w:hAnsi="Times New Roman" w:cs="Times New Roman"/>
        </w:rPr>
        <w:t>註</w:t>
      </w:r>
      <w:proofErr w:type="gramEnd"/>
      <w:r w:rsidRPr="003F2B3F">
        <w:rPr>
          <w:rFonts w:ascii="Times New Roman" w:eastAsia="標楷體" w:hAnsi="Times New Roman" w:cs="Times New Roman"/>
        </w:rPr>
        <w:t>2</w:t>
      </w:r>
      <w:r w:rsidRPr="003F2B3F">
        <w:rPr>
          <w:rFonts w:ascii="Times New Roman" w:eastAsia="標楷體" w:hAnsi="Times New Roman" w:cs="Times New Roman"/>
        </w:rPr>
        <w:t>：</w:t>
      </w:r>
      <w:proofErr w:type="gramStart"/>
      <w:r w:rsidRPr="003F2B3F">
        <w:rPr>
          <w:rFonts w:ascii="Times New Roman" w:eastAsia="標楷體" w:hAnsi="Times New Roman" w:cs="Times New Roman"/>
        </w:rPr>
        <w:t>101</w:t>
      </w:r>
      <w:proofErr w:type="gramEnd"/>
      <w:r w:rsidRPr="003F2B3F">
        <w:rPr>
          <w:rFonts w:ascii="Times New Roman" w:eastAsia="標楷體" w:hAnsi="Times New Roman" w:cs="Times New Roman"/>
        </w:rPr>
        <w:t>年度資料係本公司自結數</w:t>
      </w:r>
      <w:r w:rsidR="004B27E0" w:rsidRPr="003F2B3F">
        <w:rPr>
          <w:rFonts w:ascii="Times New Roman" w:eastAsia="標楷體" w:hAnsi="Times New Roman" w:cs="Times New Roman"/>
        </w:rPr>
        <w:t>。</w:t>
      </w:r>
    </w:p>
    <w:p w:rsidR="000A6536" w:rsidRPr="003F2B3F" w:rsidRDefault="000A6536" w:rsidP="0020043D">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3F2B3F">
        <w:rPr>
          <w:rFonts w:ascii="Times New Roman" w:eastAsia="標楷體" w:hAnsi="Times New Roman" w:cs="Times New Roman"/>
        </w:rPr>
        <w:t>註</w:t>
      </w:r>
      <w:proofErr w:type="gramEnd"/>
      <w:r w:rsidRPr="003F2B3F">
        <w:rPr>
          <w:rFonts w:ascii="Times New Roman" w:eastAsia="標楷體" w:hAnsi="Times New Roman" w:cs="Times New Roman"/>
        </w:rPr>
        <w:t>3</w:t>
      </w:r>
      <w:r w:rsidRPr="003F2B3F">
        <w:rPr>
          <w:rFonts w:ascii="Times New Roman" w:eastAsia="標楷體" w:hAnsi="Times New Roman" w:cs="Times New Roman"/>
        </w:rPr>
        <w:t>：</w:t>
      </w:r>
      <w:proofErr w:type="gramStart"/>
      <w:r w:rsidRPr="003F2B3F">
        <w:rPr>
          <w:rFonts w:ascii="Times New Roman" w:eastAsia="標楷體" w:hAnsi="Times New Roman" w:cs="Times New Roman"/>
        </w:rPr>
        <w:t>102</w:t>
      </w:r>
      <w:proofErr w:type="gramEnd"/>
      <w:r w:rsidRPr="003F2B3F">
        <w:rPr>
          <w:rFonts w:ascii="Times New Roman" w:eastAsia="標楷體" w:hAnsi="Times New Roman" w:cs="Times New Roman"/>
        </w:rPr>
        <w:t>年度資料經會計師查核簽證，係</w:t>
      </w:r>
      <w:proofErr w:type="gramStart"/>
      <w:r w:rsidRPr="003F2B3F">
        <w:rPr>
          <w:rFonts w:ascii="Times New Roman" w:eastAsia="標楷體" w:hAnsi="Times New Roman" w:cs="Times New Roman"/>
        </w:rPr>
        <w:t>採</w:t>
      </w:r>
      <w:proofErr w:type="gramEnd"/>
      <w:r w:rsidRPr="003F2B3F">
        <w:rPr>
          <w:rFonts w:ascii="Times New Roman" w:eastAsia="標楷體" w:hAnsi="Times New Roman" w:cs="Times New Roman"/>
        </w:rPr>
        <w:t>我國財務會計準則</w:t>
      </w:r>
      <w:r w:rsidR="004B27E0" w:rsidRPr="003F2B3F">
        <w:rPr>
          <w:rFonts w:ascii="Times New Roman" w:eastAsia="標楷體" w:hAnsi="Times New Roman" w:cs="Times New Roman"/>
        </w:rPr>
        <w:t>。</w:t>
      </w:r>
    </w:p>
    <w:p w:rsidR="000A6536" w:rsidRPr="003F2B3F" w:rsidRDefault="000A6536" w:rsidP="000A6536">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3F2B3F">
        <w:rPr>
          <w:rFonts w:ascii="Times New Roman" w:eastAsia="標楷體" w:hAnsi="Times New Roman" w:cs="Times New Roman"/>
        </w:rPr>
        <w:t>註</w:t>
      </w:r>
      <w:proofErr w:type="gramEnd"/>
      <w:r w:rsidRPr="003F2B3F">
        <w:rPr>
          <w:rFonts w:ascii="Times New Roman" w:eastAsia="標楷體" w:hAnsi="Times New Roman" w:cs="Times New Roman"/>
        </w:rPr>
        <w:t>4</w:t>
      </w:r>
      <w:r w:rsidRPr="003F2B3F">
        <w:rPr>
          <w:rFonts w:ascii="Times New Roman" w:eastAsia="標楷體" w:hAnsi="Times New Roman" w:cs="Times New Roman"/>
        </w:rPr>
        <w:t>：</w:t>
      </w:r>
      <w:r w:rsidRPr="003F2B3F">
        <w:rPr>
          <w:rFonts w:ascii="Times New Roman" w:eastAsia="標楷體" w:hAnsi="Times New Roman" w:cs="Times New Roman"/>
        </w:rPr>
        <w:t>103~</w:t>
      </w:r>
      <w:proofErr w:type="gramStart"/>
      <w:r w:rsidRPr="003F2B3F">
        <w:rPr>
          <w:rFonts w:ascii="Times New Roman" w:eastAsia="標楷體" w:hAnsi="Times New Roman" w:cs="Times New Roman"/>
        </w:rPr>
        <w:t>104</w:t>
      </w:r>
      <w:proofErr w:type="gramEnd"/>
      <w:r w:rsidRPr="003F2B3F">
        <w:rPr>
          <w:rFonts w:ascii="Times New Roman" w:eastAsia="標楷體" w:hAnsi="Times New Roman" w:cs="Times New Roman"/>
        </w:rPr>
        <w:t>年度資料經會計師查核簽證，係</w:t>
      </w:r>
      <w:proofErr w:type="gramStart"/>
      <w:r w:rsidRPr="003F2B3F">
        <w:rPr>
          <w:rFonts w:ascii="Times New Roman" w:eastAsia="標楷體" w:hAnsi="Times New Roman" w:cs="Times New Roman"/>
        </w:rPr>
        <w:t>採</w:t>
      </w:r>
      <w:proofErr w:type="gramEnd"/>
      <w:r w:rsidRPr="003F2B3F">
        <w:rPr>
          <w:rFonts w:ascii="Times New Roman" w:eastAsia="標楷體" w:hAnsi="Times New Roman" w:cs="Times New Roman"/>
        </w:rPr>
        <w:t>國際財務報告準則</w:t>
      </w:r>
      <w:r w:rsidR="004B27E0" w:rsidRPr="003F2B3F">
        <w:rPr>
          <w:rFonts w:ascii="Times New Roman" w:eastAsia="標楷體" w:hAnsi="Times New Roman" w:cs="Times New Roman"/>
        </w:rPr>
        <w:t>。</w:t>
      </w:r>
    </w:p>
    <w:p w:rsidR="000A3EC5" w:rsidRPr="003F2B3F" w:rsidRDefault="0020043D" w:rsidP="000A6536">
      <w:pPr>
        <w:pStyle w:val="Web"/>
        <w:widowControl w:val="0"/>
        <w:spacing w:before="0" w:beforeAutospacing="0" w:after="0" w:afterAutospacing="0"/>
        <w:ind w:left="708" w:hangingChars="295" w:hanging="708"/>
        <w:rPr>
          <w:rFonts w:ascii="Times New Roman" w:eastAsia="標楷體" w:hAnsi="Times New Roman" w:cs="Times New Roman"/>
        </w:rPr>
      </w:pPr>
      <w:proofErr w:type="gramStart"/>
      <w:r w:rsidRPr="003F2B3F">
        <w:rPr>
          <w:rFonts w:ascii="Times New Roman" w:eastAsia="標楷體" w:hAnsi="Times New Roman" w:cs="Times New Roman"/>
        </w:rPr>
        <w:t>註</w:t>
      </w:r>
      <w:proofErr w:type="gramEnd"/>
      <w:r w:rsidR="000A6536" w:rsidRPr="003F2B3F">
        <w:rPr>
          <w:rFonts w:ascii="Times New Roman" w:eastAsia="標楷體" w:hAnsi="Times New Roman" w:cs="Times New Roman"/>
        </w:rPr>
        <w:t>5</w:t>
      </w:r>
      <w:r w:rsidR="000A6536" w:rsidRPr="003F2B3F">
        <w:rPr>
          <w:rFonts w:ascii="Times New Roman" w:eastAsia="標楷體" w:hAnsi="Times New Roman" w:cs="Times New Roman"/>
        </w:rPr>
        <w:t>：</w:t>
      </w:r>
      <w:r w:rsidRPr="003F2B3F">
        <w:rPr>
          <w:rFonts w:ascii="Times New Roman" w:eastAsia="標楷體" w:hAnsi="Times New Roman" w:cs="Times New Roman"/>
        </w:rPr>
        <w:t>係自結數字，未經會計師查核簽證，因此可能與會計師查核結果存有差異，請投資人於參考時審慎評估。</w:t>
      </w:r>
    </w:p>
    <w:p w:rsidR="000A3EC5" w:rsidRPr="003F2B3F" w:rsidRDefault="000A3EC5" w:rsidP="0020043D">
      <w:pPr>
        <w:pStyle w:val="Web"/>
        <w:widowControl w:val="0"/>
        <w:spacing w:before="0" w:beforeAutospacing="0" w:after="0" w:afterAutospacing="0"/>
        <w:ind w:left="566" w:hangingChars="236" w:hanging="566"/>
        <w:rPr>
          <w:rFonts w:ascii="Times New Roman" w:eastAsia="標楷體" w:hAnsi="Times New Roman" w:cs="Times New Roman"/>
          <w:kern w:val="2"/>
        </w:rPr>
      </w:pPr>
    </w:p>
    <w:p w:rsidR="00C26408" w:rsidRPr="003F2B3F" w:rsidRDefault="00C26408" w:rsidP="0020043D">
      <w:pPr>
        <w:pStyle w:val="Web"/>
        <w:widowControl w:val="0"/>
        <w:spacing w:before="0" w:beforeAutospacing="0" w:after="0" w:afterAutospacing="0"/>
        <w:ind w:left="566" w:hangingChars="236" w:hanging="566"/>
        <w:rPr>
          <w:rFonts w:ascii="Times New Roman" w:eastAsia="標楷體" w:hAnsi="Times New Roman" w:cs="Times New Roman"/>
          <w:kern w:val="2"/>
        </w:rPr>
      </w:pPr>
    </w:p>
    <w:p w:rsidR="00C26408" w:rsidRPr="003F2B3F" w:rsidRDefault="00C26408" w:rsidP="0020043D">
      <w:pPr>
        <w:pStyle w:val="Web"/>
        <w:widowControl w:val="0"/>
        <w:spacing w:before="0" w:beforeAutospacing="0" w:after="0" w:afterAutospacing="0"/>
        <w:ind w:left="566" w:hangingChars="236" w:hanging="566"/>
        <w:rPr>
          <w:rFonts w:ascii="Times New Roman" w:eastAsia="標楷體" w:hAnsi="Times New Roman" w:cs="Times New Roman"/>
          <w:kern w:val="2"/>
        </w:rPr>
      </w:pPr>
    </w:p>
    <w:p w:rsidR="00C26408" w:rsidRPr="003F2B3F" w:rsidRDefault="00C26408" w:rsidP="0020043D">
      <w:pPr>
        <w:pStyle w:val="Web"/>
        <w:widowControl w:val="0"/>
        <w:spacing w:before="0" w:beforeAutospacing="0" w:after="0" w:afterAutospacing="0"/>
        <w:ind w:left="566" w:hangingChars="236" w:hanging="566"/>
        <w:rPr>
          <w:rFonts w:ascii="Times New Roman" w:eastAsia="標楷體" w:hAnsi="Times New Roman" w:cs="Times New Roman"/>
          <w:kern w:val="2"/>
        </w:rPr>
      </w:pPr>
    </w:p>
    <w:p w:rsidR="00C26408" w:rsidRPr="003F2B3F" w:rsidRDefault="00C26408" w:rsidP="0020043D">
      <w:pPr>
        <w:pStyle w:val="Web"/>
        <w:widowControl w:val="0"/>
        <w:spacing w:before="0" w:beforeAutospacing="0" w:after="0" w:afterAutospacing="0"/>
        <w:ind w:left="566" w:hangingChars="236" w:hanging="566"/>
        <w:rPr>
          <w:rFonts w:ascii="Times New Roman" w:eastAsia="標楷體" w:hAnsi="Times New Roman" w:cs="Times New Roman"/>
          <w:kern w:val="2"/>
        </w:rPr>
      </w:pPr>
    </w:p>
    <w:p w:rsidR="00C26408" w:rsidRPr="003F2B3F" w:rsidRDefault="00C26408" w:rsidP="0020043D">
      <w:pPr>
        <w:pStyle w:val="Web"/>
        <w:widowControl w:val="0"/>
        <w:spacing w:before="0" w:beforeAutospacing="0" w:after="0" w:afterAutospacing="0"/>
        <w:ind w:left="566" w:hangingChars="236" w:hanging="566"/>
        <w:rPr>
          <w:rFonts w:ascii="Times New Roman" w:eastAsia="標楷體" w:hAnsi="Times New Roman" w:cs="Times New Roman"/>
          <w:kern w:val="2"/>
        </w:rPr>
      </w:pPr>
    </w:p>
    <w:p w:rsidR="004B27E0" w:rsidRPr="003F2B3F" w:rsidRDefault="004B27E0" w:rsidP="0020043D">
      <w:pPr>
        <w:pStyle w:val="Web"/>
        <w:widowControl w:val="0"/>
        <w:spacing w:before="0" w:beforeAutospacing="0" w:after="0" w:afterAutospacing="0"/>
        <w:ind w:left="566" w:hangingChars="236" w:hanging="566"/>
        <w:rPr>
          <w:rFonts w:ascii="Times New Roman" w:eastAsia="標楷體" w:hAnsi="Times New Roman" w:cs="Times New Roman"/>
          <w:kern w:val="2"/>
        </w:rPr>
      </w:pPr>
    </w:p>
    <w:p w:rsidR="00C26408" w:rsidRPr="003F2B3F" w:rsidRDefault="00C26408" w:rsidP="0020043D">
      <w:pPr>
        <w:pStyle w:val="Web"/>
        <w:widowControl w:val="0"/>
        <w:spacing w:before="0" w:beforeAutospacing="0" w:after="0" w:afterAutospacing="0"/>
        <w:ind w:left="566" w:hangingChars="236" w:hanging="566"/>
        <w:rPr>
          <w:rFonts w:ascii="Times New Roman" w:eastAsia="標楷體" w:hAnsi="Times New Roman" w:cs="Times New Roman"/>
          <w:kern w:val="2"/>
        </w:rPr>
      </w:pPr>
    </w:p>
    <w:p w:rsidR="00C26408" w:rsidRPr="003F2B3F" w:rsidRDefault="00C26408" w:rsidP="0020043D">
      <w:pPr>
        <w:pStyle w:val="Web"/>
        <w:widowControl w:val="0"/>
        <w:spacing w:before="0" w:beforeAutospacing="0" w:after="0" w:afterAutospacing="0"/>
        <w:ind w:left="566" w:hangingChars="236" w:hanging="566"/>
        <w:rPr>
          <w:rFonts w:ascii="Times New Roman" w:eastAsia="標楷體" w:hAnsi="Times New Roman" w:cs="Times New Roman"/>
          <w:kern w:val="2"/>
        </w:rPr>
      </w:pPr>
    </w:p>
    <w:p w:rsidR="00C26408" w:rsidRDefault="00C26408" w:rsidP="0020043D">
      <w:pPr>
        <w:pStyle w:val="Web"/>
        <w:widowControl w:val="0"/>
        <w:spacing w:before="0" w:beforeAutospacing="0" w:after="0" w:afterAutospacing="0"/>
        <w:ind w:left="566" w:hangingChars="236" w:hanging="566"/>
        <w:rPr>
          <w:rFonts w:ascii="Times New Roman" w:eastAsia="標楷體" w:hAnsi="Times New Roman" w:cs="Times New Roman"/>
          <w:kern w:val="2"/>
        </w:rPr>
      </w:pPr>
    </w:p>
    <w:p w:rsidR="00910C26" w:rsidRPr="003F2B3F" w:rsidRDefault="00910C26" w:rsidP="0020043D">
      <w:pPr>
        <w:pStyle w:val="Web"/>
        <w:widowControl w:val="0"/>
        <w:spacing w:before="0" w:beforeAutospacing="0" w:after="0" w:afterAutospacing="0"/>
        <w:ind w:left="566" w:hangingChars="236" w:hanging="566"/>
        <w:rPr>
          <w:rFonts w:ascii="Times New Roman" w:eastAsia="標楷體" w:hAnsi="Times New Roman" w:cs="Times New Roman"/>
          <w:kern w:val="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2528CB" w:rsidRPr="003F2B3F">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bookmarkStart w:id="6" w:name="最近五年度簡明資產負債表"/>
          <w:bookmarkEnd w:id="6"/>
          <w:p w:rsidR="00161123" w:rsidRPr="003F2B3F" w:rsidRDefault="00910C26">
            <w:pPr>
              <w:ind w:firstLineChars="1200" w:firstLine="3363"/>
              <w:rPr>
                <w:rFonts w:eastAsia="標楷體"/>
                <w:b/>
                <w:bCs/>
                <w:sz w:val="28"/>
              </w:rPr>
            </w:pPr>
            <w:r>
              <w:rPr>
                <w:rFonts w:eastAsia="標楷體"/>
                <w:b/>
                <w:bCs/>
                <w:noProof/>
                <w:sz w:val="28"/>
              </w:rPr>
              <w:lastRenderedPageBreak/>
              <mc:AlternateContent>
                <mc:Choice Requires="wps">
                  <w:drawing>
                    <wp:anchor distT="0" distB="0" distL="114300" distR="114300" simplePos="0" relativeHeight="251662336" behindDoc="1" locked="0" layoutInCell="1" allowOverlap="1" wp14:anchorId="7D4DBE3E" wp14:editId="2A885EF7">
                      <wp:simplePos x="0" y="0"/>
                      <wp:positionH relativeFrom="column">
                        <wp:posOffset>0</wp:posOffset>
                      </wp:positionH>
                      <wp:positionV relativeFrom="paragraph">
                        <wp:posOffset>8255</wp:posOffset>
                      </wp:positionV>
                      <wp:extent cx="6642100" cy="685165"/>
                      <wp:effectExtent l="0" t="0" r="0" b="1905"/>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670" w:rsidRDefault="00545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0;margin-top:.65pt;width:523pt;height:5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" fillcolor="#ededed" stroked="f">
                      <v:fill rotate="t" focus="50%" type="gradient"/>
                      <v:textbox>
                        <w:txbxContent>
                          <w:p w:rsidR="00386F23" w:rsidRDefault="00386F23"/>
                        </w:txbxContent>
                      </v:textbox>
                    </v:shape>
                  </w:pict>
                </mc:Fallback>
              </mc:AlternateContent>
            </w:r>
            <w:r w:rsidR="00161123" w:rsidRPr="003F2B3F">
              <w:rPr>
                <w:rFonts w:eastAsia="標楷體"/>
                <w:b/>
                <w:bCs/>
                <w:sz w:val="28"/>
              </w:rPr>
              <w:t>最近</w:t>
            </w:r>
            <w:proofErr w:type="gramStart"/>
            <w:r w:rsidR="00161123" w:rsidRPr="003F2B3F">
              <w:rPr>
                <w:rFonts w:eastAsia="標楷體"/>
                <w:b/>
                <w:bCs/>
                <w:sz w:val="28"/>
              </w:rPr>
              <w:t>五</w:t>
            </w:r>
            <w:proofErr w:type="gramEnd"/>
            <w:r w:rsidR="00161123" w:rsidRPr="003F2B3F">
              <w:rPr>
                <w:rFonts w:eastAsia="標楷體"/>
                <w:b/>
                <w:bCs/>
                <w:sz w:val="28"/>
              </w:rPr>
              <w:t>年度簡明資產負債表</w:t>
            </w:r>
          </w:p>
          <w:p w:rsidR="00161123" w:rsidRPr="003F2B3F" w:rsidRDefault="00161123">
            <w:pPr>
              <w:ind w:firstLineChars="2518" w:firstLine="7057"/>
              <w:rPr>
                <w:rFonts w:eastAsia="標楷體"/>
                <w:b/>
                <w:bCs/>
                <w:sz w:val="28"/>
              </w:rPr>
            </w:pPr>
            <w:r w:rsidRPr="003F2B3F">
              <w:rPr>
                <w:rFonts w:eastAsia="標楷體"/>
                <w:b/>
                <w:bCs/>
                <w:sz w:val="28"/>
              </w:rPr>
              <w:t xml:space="preserve">         </w:t>
            </w:r>
            <w:r w:rsidRPr="003F2B3F">
              <w:rPr>
                <w:rFonts w:eastAsia="標楷體"/>
              </w:rPr>
              <w:t>單位：新台幣仟元</w:t>
            </w:r>
          </w:p>
          <w:p w:rsidR="00161123" w:rsidRPr="003F2B3F" w:rsidRDefault="00161123">
            <w:pPr>
              <w:ind w:firstLineChars="1200" w:firstLine="3363"/>
              <w:rPr>
                <w:rFonts w:eastAsia="標楷體"/>
                <w:b/>
                <w:bCs/>
                <w:sz w:val="28"/>
              </w:rPr>
            </w:pPr>
          </w:p>
          <w:p w:rsidR="00161123" w:rsidRPr="003F2B3F" w:rsidRDefault="00161123">
            <w:pPr>
              <w:ind w:firstLineChars="1200" w:firstLine="3363"/>
              <w:rPr>
                <w:rFonts w:eastAsia="標楷體"/>
                <w:b/>
                <w:bCs/>
                <w:sz w:val="28"/>
              </w:rPr>
            </w:pPr>
          </w:p>
          <w:p w:rsidR="00161123" w:rsidRPr="003F2B3F" w:rsidRDefault="00161123">
            <w:pPr>
              <w:ind w:firstLineChars="1500" w:firstLine="3600"/>
              <w:rPr>
                <w:rFonts w:eastAsia="標楷體"/>
              </w:rPr>
            </w:pPr>
          </w:p>
          <w:p w:rsidR="00161123" w:rsidRPr="003F2B3F" w:rsidRDefault="00161123">
            <w:pPr>
              <w:ind w:firstLineChars="1500" w:firstLine="3600"/>
              <w:rPr>
                <w:rFonts w:eastAsia="標楷體"/>
              </w:rPr>
            </w:pPr>
          </w:p>
          <w:p w:rsidR="00161123" w:rsidRPr="003F2B3F" w:rsidRDefault="00161123">
            <w:pPr>
              <w:ind w:firstLineChars="1500" w:firstLine="3600"/>
              <w:rPr>
                <w:rFonts w:eastAsia="標楷體"/>
              </w:rPr>
            </w:pPr>
          </w:p>
          <w:p w:rsidR="00161123" w:rsidRPr="003F2B3F" w:rsidRDefault="00161123">
            <w:pPr>
              <w:ind w:firstLineChars="1500" w:firstLine="3600"/>
              <w:rPr>
                <w:rFonts w:eastAsia="標楷體"/>
              </w:rPr>
            </w:pPr>
            <w:r w:rsidRPr="003F2B3F">
              <w:rPr>
                <w:rFonts w:eastAsia="標楷體"/>
              </w:rPr>
              <w:t xml:space="preserve">         </w:t>
            </w:r>
          </w:p>
          <w:p w:rsidR="00161123" w:rsidRPr="003F2B3F" w:rsidRDefault="00161123">
            <w:pPr>
              <w:ind w:firstLineChars="900" w:firstLine="2160"/>
              <w:rPr>
                <w:rFonts w:eastAsia="標楷體"/>
              </w:rPr>
            </w:pPr>
            <w:r w:rsidRPr="003F2B3F">
              <w:rPr>
                <w:rFonts w:eastAsia="標楷體"/>
              </w:rPr>
              <w:t xml:space="preserve">                    </w:t>
            </w:r>
            <w:r w:rsidRPr="003F2B3F">
              <w:rPr>
                <w:rFonts w:eastAsia="標楷體"/>
              </w:rPr>
              <w:t>單位：新台幣仟元</w:t>
            </w:r>
          </w:p>
        </w:tc>
      </w:tr>
      <w:tr w:rsidR="002528CB" w:rsidRPr="003F2B3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3F2B3F" w:rsidRDefault="0019438A">
            <w:pPr>
              <w:ind w:left="57" w:right="57"/>
              <w:jc w:val="right"/>
              <w:rPr>
                <w:rFonts w:eastAsia="標楷體"/>
              </w:rPr>
            </w:pPr>
            <w:r w:rsidRPr="003F2B3F">
              <w:rPr>
                <w:rFonts w:eastAsia="標楷體"/>
              </w:rPr>
              <w:t>年度</w:t>
            </w:r>
          </w:p>
          <w:p w:rsidR="0019438A" w:rsidRPr="003F2B3F" w:rsidRDefault="0019438A">
            <w:pPr>
              <w:rPr>
                <w:rFonts w:eastAsia="標楷體"/>
              </w:rPr>
            </w:pPr>
            <w:r w:rsidRPr="003F2B3F">
              <w:rPr>
                <w:rFonts w:eastAsia="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19438A" w:rsidRPr="003F2B3F" w:rsidRDefault="00C26408" w:rsidP="00161123">
            <w:pPr>
              <w:jc w:val="center"/>
              <w:rPr>
                <w:rFonts w:eastAsia="標楷體"/>
              </w:rPr>
            </w:pPr>
            <w:r w:rsidRPr="003F2B3F">
              <w:rPr>
                <w:rFonts w:eastAsia="標楷體"/>
              </w:rPr>
              <w:t>100</w:t>
            </w:r>
            <w:r w:rsidR="0019438A" w:rsidRPr="003F2B3F">
              <w:rPr>
                <w:rFonts w:eastAsia="標楷體"/>
              </w:rPr>
              <w:t>年</w:t>
            </w:r>
          </w:p>
          <w:p w:rsidR="00C26408" w:rsidRPr="003F2B3F" w:rsidRDefault="00C26408"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1)</w:t>
            </w:r>
          </w:p>
        </w:tc>
        <w:tc>
          <w:tcPr>
            <w:tcW w:w="1736" w:type="dxa"/>
            <w:tcBorders>
              <w:top w:val="single" w:sz="6" w:space="0" w:color="auto"/>
              <w:left w:val="single" w:sz="6" w:space="0" w:color="auto"/>
              <w:bottom w:val="single" w:sz="6" w:space="0" w:color="auto"/>
              <w:right w:val="single" w:sz="6" w:space="0" w:color="auto"/>
            </w:tcBorders>
            <w:vAlign w:val="center"/>
          </w:tcPr>
          <w:p w:rsidR="0019438A" w:rsidRPr="003F2B3F" w:rsidRDefault="00C26408" w:rsidP="00161123">
            <w:pPr>
              <w:jc w:val="center"/>
              <w:rPr>
                <w:rFonts w:eastAsia="標楷體"/>
              </w:rPr>
            </w:pPr>
            <w:r w:rsidRPr="003F2B3F">
              <w:rPr>
                <w:rFonts w:eastAsia="標楷體"/>
              </w:rPr>
              <w:t>101</w:t>
            </w:r>
            <w:r w:rsidR="0019438A" w:rsidRPr="003F2B3F">
              <w:rPr>
                <w:rFonts w:eastAsia="標楷體"/>
              </w:rPr>
              <w:t>年</w:t>
            </w:r>
          </w:p>
          <w:p w:rsidR="00C26408" w:rsidRPr="003F2B3F" w:rsidRDefault="00C26408"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2)</w:t>
            </w:r>
          </w:p>
        </w:tc>
        <w:tc>
          <w:tcPr>
            <w:tcW w:w="1665" w:type="dxa"/>
            <w:tcBorders>
              <w:top w:val="single" w:sz="6" w:space="0" w:color="auto"/>
              <w:left w:val="single" w:sz="6" w:space="0" w:color="auto"/>
              <w:bottom w:val="single" w:sz="6" w:space="0" w:color="auto"/>
              <w:right w:val="single" w:sz="6" w:space="0" w:color="auto"/>
            </w:tcBorders>
            <w:vAlign w:val="center"/>
          </w:tcPr>
          <w:p w:rsidR="0019438A" w:rsidRPr="003F2B3F" w:rsidRDefault="00C26408" w:rsidP="00161123">
            <w:pPr>
              <w:jc w:val="center"/>
              <w:rPr>
                <w:rFonts w:eastAsia="標楷體"/>
              </w:rPr>
            </w:pPr>
            <w:r w:rsidRPr="003F2B3F">
              <w:rPr>
                <w:rFonts w:eastAsia="標楷體"/>
              </w:rPr>
              <w:t>102</w:t>
            </w:r>
            <w:r w:rsidR="0019438A" w:rsidRPr="003F2B3F">
              <w:rPr>
                <w:rFonts w:eastAsia="標楷體"/>
              </w:rPr>
              <w:t>年</w:t>
            </w:r>
          </w:p>
          <w:p w:rsidR="00C26408" w:rsidRPr="003F2B3F" w:rsidRDefault="00C26408"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3)</w:t>
            </w:r>
          </w:p>
        </w:tc>
        <w:tc>
          <w:tcPr>
            <w:tcW w:w="1610" w:type="dxa"/>
            <w:tcBorders>
              <w:top w:val="single" w:sz="6" w:space="0" w:color="auto"/>
              <w:left w:val="single" w:sz="6" w:space="0" w:color="auto"/>
              <w:bottom w:val="single" w:sz="6" w:space="0" w:color="auto"/>
              <w:right w:val="single" w:sz="6" w:space="0" w:color="auto"/>
            </w:tcBorders>
            <w:vAlign w:val="center"/>
          </w:tcPr>
          <w:p w:rsidR="0019438A" w:rsidRPr="003F2B3F" w:rsidRDefault="00C26408" w:rsidP="00161123">
            <w:pPr>
              <w:jc w:val="center"/>
              <w:rPr>
                <w:rFonts w:eastAsia="標楷體"/>
              </w:rPr>
            </w:pPr>
            <w:r w:rsidRPr="003F2B3F">
              <w:rPr>
                <w:rFonts w:eastAsia="標楷體"/>
              </w:rPr>
              <w:t>103</w:t>
            </w:r>
            <w:r w:rsidR="0019438A" w:rsidRPr="003F2B3F">
              <w:rPr>
                <w:rFonts w:eastAsia="標楷體"/>
              </w:rPr>
              <w:t>年</w:t>
            </w:r>
          </w:p>
          <w:p w:rsidR="00C26408" w:rsidRPr="003F2B3F" w:rsidRDefault="00C26408"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4)</w:t>
            </w:r>
          </w:p>
        </w:tc>
        <w:tc>
          <w:tcPr>
            <w:tcW w:w="1691" w:type="dxa"/>
            <w:tcBorders>
              <w:top w:val="single" w:sz="6" w:space="0" w:color="auto"/>
              <w:left w:val="single" w:sz="4" w:space="0" w:color="auto"/>
              <w:bottom w:val="single" w:sz="6" w:space="0" w:color="auto"/>
              <w:right w:val="single" w:sz="12" w:space="0" w:color="auto"/>
            </w:tcBorders>
            <w:vAlign w:val="center"/>
          </w:tcPr>
          <w:p w:rsidR="0019438A" w:rsidRPr="003F2B3F" w:rsidRDefault="00C26408" w:rsidP="00161123">
            <w:pPr>
              <w:jc w:val="center"/>
              <w:rPr>
                <w:rFonts w:eastAsia="標楷體"/>
              </w:rPr>
            </w:pPr>
            <w:r w:rsidRPr="003F2B3F">
              <w:rPr>
                <w:rFonts w:eastAsia="標楷體"/>
              </w:rPr>
              <w:t>104</w:t>
            </w:r>
            <w:r w:rsidR="0019438A" w:rsidRPr="003F2B3F">
              <w:rPr>
                <w:rFonts w:eastAsia="標楷體"/>
              </w:rPr>
              <w:t>年</w:t>
            </w:r>
          </w:p>
          <w:p w:rsidR="00C26408" w:rsidRPr="003F2B3F" w:rsidRDefault="00C26408"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4)</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8,000</w:t>
            </w:r>
          </w:p>
        </w:tc>
        <w:tc>
          <w:tcPr>
            <w:tcW w:w="1665" w:type="dxa"/>
            <w:tcBorders>
              <w:top w:val="single" w:sz="6" w:space="0" w:color="auto"/>
              <w:left w:val="single" w:sz="6" w:space="0" w:color="auto"/>
              <w:bottom w:val="single" w:sz="6" w:space="0" w:color="auto"/>
              <w:right w:val="single" w:sz="6" w:space="0" w:color="auto"/>
            </w:tcBorders>
          </w:tcPr>
          <w:p w:rsidR="00C26408" w:rsidRPr="003F2B3F" w:rsidRDefault="00C26408" w:rsidP="00C26408">
            <w:pPr>
              <w:jc w:val="center"/>
              <w:rPr>
                <w:rFonts w:eastAsia="標楷體"/>
              </w:rPr>
            </w:pPr>
            <w:r w:rsidRPr="003F2B3F">
              <w:rPr>
                <w:rFonts w:eastAsia="標楷體"/>
              </w:rPr>
              <w:t>312,295</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623,539</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516,324</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C26408" w:rsidRPr="003F2B3F" w:rsidRDefault="00C26408" w:rsidP="00C26408">
            <w:pPr>
              <w:jc w:val="center"/>
              <w:rPr>
                <w:rFonts w:eastAsia="標楷體"/>
              </w:rPr>
            </w:pPr>
            <w:r w:rsidRPr="003F2B3F">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C26408" w:rsidRPr="003F2B3F" w:rsidRDefault="00C26408" w:rsidP="00C26408">
            <w:pPr>
              <w:jc w:val="center"/>
              <w:rPr>
                <w:rFonts w:eastAsia="標楷體"/>
              </w:rPr>
            </w:pPr>
            <w:r w:rsidRPr="003F2B3F">
              <w:rPr>
                <w:rFonts w:eastAsia="標楷體"/>
              </w:rPr>
              <w:t>-</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121,686</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138,346</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154,946</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100,258</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89,648</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78,925</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4,954</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40,138</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23,049</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8,000</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539,193</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891,671</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773,244</w:t>
            </w:r>
          </w:p>
        </w:tc>
      </w:tr>
      <w:tr w:rsidR="002528CB" w:rsidRPr="003F2B3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流動</w:t>
            </w:r>
          </w:p>
          <w:p w:rsidR="00C26408" w:rsidRPr="003F2B3F" w:rsidRDefault="00C26408" w:rsidP="00C26408">
            <w:pPr>
              <w:jc w:val="distribute"/>
              <w:rPr>
                <w:rFonts w:eastAsia="標楷體"/>
              </w:rPr>
            </w:pPr>
            <w:r w:rsidRPr="003F2B3F">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C26408" w:rsidRPr="003F2B3F" w:rsidRDefault="00C26408" w:rsidP="00C26408">
            <w:pPr>
              <w:pStyle w:val="ac"/>
              <w:adjustRightInd/>
              <w:snapToGrid/>
              <w:spacing w:line="240" w:lineRule="auto"/>
              <w:textAlignment w:val="auto"/>
              <w:rPr>
                <w:kern w:val="2"/>
                <w:szCs w:val="24"/>
              </w:rPr>
            </w:pPr>
            <w:r w:rsidRPr="003F2B3F">
              <w:rPr>
                <w:kern w:val="2"/>
                <w:szCs w:val="24"/>
              </w:rPr>
              <w:t>分</w:t>
            </w:r>
            <w:r w:rsidRPr="003F2B3F">
              <w:rPr>
                <w:kern w:val="2"/>
                <w:szCs w:val="24"/>
              </w:rPr>
              <w:t xml:space="preserve"> </w:t>
            </w:r>
            <w:r w:rsidRPr="003F2B3F">
              <w:rPr>
                <w:kern w:val="2"/>
                <w:szCs w:val="24"/>
              </w:rPr>
              <w:t>配</w:t>
            </w:r>
            <w:r w:rsidRPr="003F2B3F">
              <w:rPr>
                <w:kern w:val="2"/>
                <w:szCs w:val="24"/>
              </w:rPr>
              <w:t xml:space="preserve"> </w:t>
            </w:r>
            <w:r w:rsidRPr="003F2B3F">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3,649</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70,060</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81,497</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66,052</w:t>
            </w:r>
          </w:p>
        </w:tc>
      </w:tr>
      <w:tr w:rsidR="002528CB" w:rsidRPr="003F2B3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C26408" w:rsidRPr="003F2B3F" w:rsidRDefault="00C26408" w:rsidP="00C26408">
            <w:pPr>
              <w:jc w:val="right"/>
              <w:rPr>
                <w:rFonts w:eastAsia="標楷體"/>
              </w:rPr>
            </w:pPr>
            <w:r w:rsidRPr="003F2B3F">
              <w:rPr>
                <w:rFonts w:eastAsia="標楷體"/>
              </w:rPr>
              <w:t>分</w:t>
            </w:r>
            <w:r w:rsidRPr="003F2B3F">
              <w:rPr>
                <w:rFonts w:eastAsia="標楷體"/>
              </w:rPr>
              <w:t xml:space="preserve"> </w:t>
            </w:r>
            <w:r w:rsidRPr="003F2B3F">
              <w:rPr>
                <w:rFonts w:eastAsia="標楷體"/>
              </w:rPr>
              <w:t>配</w:t>
            </w:r>
            <w:r w:rsidRPr="003F2B3F">
              <w:rPr>
                <w:rFonts w:eastAsia="標楷體"/>
              </w:rPr>
              <w:t xml:space="preserve"> </w:t>
            </w:r>
            <w:r w:rsidRPr="003F2B3F">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3,649</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70,060</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81,497</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66,052</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長期負債</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C26408" w:rsidRPr="003F2B3F" w:rsidRDefault="00FA1B5B" w:rsidP="00C26408">
            <w:pPr>
              <w:jc w:val="center"/>
              <w:rPr>
                <w:rFonts w:eastAsia="標楷體"/>
              </w:rPr>
            </w:pPr>
            <w:r w:rsidRPr="003F2B3F">
              <w:rPr>
                <w:rFonts w:eastAsia="標楷體"/>
              </w:rPr>
              <w:t>30,00</w:t>
            </w:r>
            <w:r w:rsidR="003C19E0" w:rsidRPr="003F2B3F">
              <w:rPr>
                <w:rFonts w:eastAsia="標楷體"/>
              </w:rPr>
              <w:t>0</w:t>
            </w:r>
          </w:p>
        </w:tc>
        <w:tc>
          <w:tcPr>
            <w:tcW w:w="1610" w:type="dxa"/>
            <w:tcBorders>
              <w:top w:val="single" w:sz="6" w:space="0" w:color="auto"/>
              <w:left w:val="single" w:sz="6" w:space="0" w:color="auto"/>
              <w:bottom w:val="single" w:sz="6" w:space="0" w:color="auto"/>
              <w:right w:val="single" w:sz="6" w:space="0" w:color="auto"/>
            </w:tcBorders>
          </w:tcPr>
          <w:p w:rsidR="00C26408" w:rsidRPr="003F2B3F" w:rsidRDefault="00FA1B5B" w:rsidP="00C26408">
            <w:pPr>
              <w:jc w:val="center"/>
              <w:rPr>
                <w:rFonts w:eastAsia="標楷體"/>
              </w:rPr>
            </w:pPr>
            <w:r w:rsidRPr="003F2B3F">
              <w:rPr>
                <w:rFonts w:eastAsia="標楷體"/>
              </w:rPr>
              <w:t>-</w:t>
            </w:r>
          </w:p>
        </w:tc>
        <w:tc>
          <w:tcPr>
            <w:tcW w:w="1691" w:type="dxa"/>
            <w:tcBorders>
              <w:top w:val="single" w:sz="6" w:space="0" w:color="auto"/>
              <w:left w:val="single" w:sz="4" w:space="0" w:color="auto"/>
              <w:bottom w:val="single" w:sz="6" w:space="0" w:color="auto"/>
              <w:right w:val="single" w:sz="12" w:space="0" w:color="auto"/>
            </w:tcBorders>
          </w:tcPr>
          <w:p w:rsidR="00C26408" w:rsidRPr="003F2B3F" w:rsidRDefault="00FA1B5B" w:rsidP="00C26408">
            <w:pPr>
              <w:jc w:val="center"/>
              <w:rPr>
                <w:rFonts w:eastAsia="標楷體"/>
              </w:rPr>
            </w:pPr>
            <w:r w:rsidRPr="003F2B3F">
              <w:rPr>
                <w:rFonts w:eastAsia="標楷體"/>
              </w:rPr>
              <w:t>-</w:t>
            </w:r>
          </w:p>
        </w:tc>
      </w:tr>
      <w:tr w:rsidR="002528CB" w:rsidRPr="003F2B3F">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其他負債</w:t>
            </w:r>
          </w:p>
        </w:tc>
        <w:tc>
          <w:tcPr>
            <w:tcW w:w="1668" w:type="dxa"/>
            <w:tcBorders>
              <w:top w:val="single" w:sz="6" w:space="0" w:color="auto"/>
              <w:left w:val="single" w:sz="6" w:space="0" w:color="auto"/>
              <w:bottom w:val="single" w:sz="6" w:space="0" w:color="auto"/>
              <w:right w:val="single" w:sz="6" w:space="0" w:color="auto"/>
            </w:tcBorders>
          </w:tcPr>
          <w:p w:rsidR="00C26408" w:rsidRPr="003F2B3F" w:rsidRDefault="00C26408" w:rsidP="00C26408">
            <w:pPr>
              <w:ind w:right="113"/>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C26408" w:rsidRPr="003F2B3F" w:rsidRDefault="00C26408" w:rsidP="00C26408">
            <w:pPr>
              <w:ind w:right="113"/>
              <w:jc w:val="center"/>
              <w:rPr>
                <w:rFonts w:eastAsia="標楷體"/>
              </w:rPr>
            </w:pPr>
            <w:r w:rsidRPr="003F2B3F">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C26408" w:rsidRPr="003F2B3F" w:rsidRDefault="00FA1B5B" w:rsidP="00C26408">
            <w:pPr>
              <w:jc w:val="center"/>
              <w:rPr>
                <w:rFonts w:eastAsia="標楷體"/>
              </w:rPr>
            </w:pPr>
            <w:r w:rsidRPr="003F2B3F">
              <w:rPr>
                <w:rFonts w:eastAsia="標楷體"/>
              </w:rPr>
              <w:t>100,060</w:t>
            </w:r>
          </w:p>
        </w:tc>
        <w:tc>
          <w:tcPr>
            <w:tcW w:w="1610" w:type="dxa"/>
            <w:tcBorders>
              <w:top w:val="single" w:sz="6" w:space="0" w:color="auto"/>
              <w:left w:val="single" w:sz="6" w:space="0" w:color="auto"/>
              <w:bottom w:val="single" w:sz="6" w:space="0" w:color="auto"/>
              <w:right w:val="single" w:sz="6" w:space="0" w:color="auto"/>
            </w:tcBorders>
          </w:tcPr>
          <w:p w:rsidR="00C26408" w:rsidRPr="003F2B3F" w:rsidRDefault="00FA1B5B" w:rsidP="00C26408">
            <w:pPr>
              <w:jc w:val="center"/>
              <w:rPr>
                <w:rFonts w:eastAsia="標楷體"/>
              </w:rPr>
            </w:pPr>
            <w:r w:rsidRPr="003F2B3F">
              <w:rPr>
                <w:rFonts w:eastAsia="標楷體"/>
              </w:rPr>
              <w:t>1,301</w:t>
            </w:r>
          </w:p>
        </w:tc>
        <w:tc>
          <w:tcPr>
            <w:tcW w:w="1691" w:type="dxa"/>
            <w:tcBorders>
              <w:top w:val="single" w:sz="6" w:space="0" w:color="auto"/>
              <w:left w:val="single" w:sz="4" w:space="0" w:color="auto"/>
              <w:bottom w:val="single" w:sz="6" w:space="0" w:color="auto"/>
              <w:right w:val="single" w:sz="12" w:space="0" w:color="auto"/>
            </w:tcBorders>
          </w:tcPr>
          <w:p w:rsidR="00C26408" w:rsidRPr="003F2B3F" w:rsidRDefault="00FA1B5B" w:rsidP="00C26408">
            <w:pPr>
              <w:jc w:val="center"/>
              <w:rPr>
                <w:rFonts w:eastAsia="標楷體"/>
              </w:rPr>
            </w:pPr>
            <w:r w:rsidRPr="003F2B3F">
              <w:rPr>
                <w:rFonts w:eastAsia="標楷體"/>
              </w:rPr>
              <w:t>1,630</w:t>
            </w:r>
          </w:p>
        </w:tc>
      </w:tr>
      <w:tr w:rsidR="002528CB" w:rsidRPr="003F2B3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負債</w:t>
            </w:r>
          </w:p>
          <w:p w:rsidR="00C26408" w:rsidRPr="003F2B3F" w:rsidRDefault="00C26408" w:rsidP="00C26408">
            <w:pPr>
              <w:jc w:val="distribute"/>
              <w:rPr>
                <w:rFonts w:eastAsia="標楷體"/>
              </w:rPr>
            </w:pPr>
            <w:r w:rsidRPr="003F2B3F">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C26408" w:rsidRPr="003F2B3F" w:rsidRDefault="00C26408" w:rsidP="00C26408">
            <w:pPr>
              <w:pStyle w:val="ac"/>
              <w:adjustRightInd/>
              <w:snapToGrid/>
              <w:spacing w:line="240" w:lineRule="auto"/>
              <w:textAlignment w:val="auto"/>
              <w:rPr>
                <w:kern w:val="2"/>
                <w:szCs w:val="24"/>
              </w:rPr>
            </w:pPr>
            <w:r w:rsidRPr="003F2B3F">
              <w:rPr>
                <w:kern w:val="2"/>
                <w:szCs w:val="24"/>
              </w:rPr>
              <w:t>分</w:t>
            </w:r>
            <w:r w:rsidRPr="003F2B3F">
              <w:rPr>
                <w:kern w:val="2"/>
                <w:szCs w:val="24"/>
              </w:rPr>
              <w:t xml:space="preserve"> </w:t>
            </w:r>
            <w:r w:rsidRPr="003F2B3F">
              <w:rPr>
                <w:kern w:val="2"/>
                <w:szCs w:val="24"/>
              </w:rPr>
              <w:t>配</w:t>
            </w:r>
            <w:r w:rsidRPr="003F2B3F">
              <w:rPr>
                <w:kern w:val="2"/>
                <w:szCs w:val="24"/>
              </w:rPr>
              <w:t xml:space="preserve"> </w:t>
            </w:r>
            <w:r w:rsidRPr="003F2B3F">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3,649</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100,060</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82,798</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67,682</w:t>
            </w:r>
          </w:p>
        </w:tc>
      </w:tr>
      <w:tr w:rsidR="002528CB" w:rsidRPr="003F2B3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C26408" w:rsidRPr="003F2B3F" w:rsidRDefault="00C26408" w:rsidP="00C26408">
            <w:pPr>
              <w:jc w:val="right"/>
              <w:rPr>
                <w:rFonts w:eastAsia="標楷體"/>
              </w:rPr>
            </w:pPr>
            <w:r w:rsidRPr="003F2B3F">
              <w:rPr>
                <w:rFonts w:eastAsia="標楷體"/>
              </w:rPr>
              <w:t>分</w:t>
            </w:r>
            <w:r w:rsidRPr="003F2B3F">
              <w:rPr>
                <w:rFonts w:eastAsia="標楷體"/>
              </w:rPr>
              <w:t xml:space="preserve"> </w:t>
            </w:r>
            <w:r w:rsidRPr="003F2B3F">
              <w:rPr>
                <w:rFonts w:eastAsia="標楷體"/>
              </w:rPr>
              <w:t>配</w:t>
            </w:r>
            <w:r w:rsidRPr="003F2B3F">
              <w:rPr>
                <w:rFonts w:eastAsia="標楷體"/>
              </w:rPr>
              <w:t xml:space="preserve"> </w:t>
            </w:r>
            <w:r w:rsidRPr="003F2B3F">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3,649</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100,060</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82,798</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67,682</w:t>
            </w:r>
          </w:p>
        </w:tc>
      </w:tr>
      <w:tr w:rsidR="002528CB" w:rsidRPr="003F2B3F" w:rsidTr="00E060F0">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8,000</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540,000</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790,000</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809,821</w:t>
            </w:r>
          </w:p>
        </w:tc>
      </w:tr>
      <w:tr w:rsidR="002528CB" w:rsidRPr="003F2B3F">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7,570</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257,570</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269,015</w:t>
            </w:r>
          </w:p>
        </w:tc>
      </w:tr>
      <w:tr w:rsidR="002528CB" w:rsidRPr="003F2B3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保留</w:t>
            </w:r>
          </w:p>
          <w:p w:rsidR="00C26408" w:rsidRPr="003F2B3F" w:rsidRDefault="00C26408" w:rsidP="00C26408">
            <w:pPr>
              <w:jc w:val="distribute"/>
              <w:rPr>
                <w:rFonts w:eastAsia="標楷體"/>
              </w:rPr>
            </w:pPr>
            <w:r w:rsidRPr="003F2B3F">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rsidR="00C26408" w:rsidRPr="003F2B3F" w:rsidRDefault="00C26408" w:rsidP="00C26408">
            <w:pPr>
              <w:pStyle w:val="ac"/>
              <w:adjustRightInd/>
              <w:snapToGrid/>
              <w:spacing w:line="240" w:lineRule="auto"/>
              <w:textAlignment w:val="auto"/>
              <w:rPr>
                <w:kern w:val="2"/>
                <w:szCs w:val="24"/>
              </w:rPr>
            </w:pPr>
            <w:r w:rsidRPr="003F2B3F">
              <w:rPr>
                <w:kern w:val="2"/>
                <w:szCs w:val="24"/>
              </w:rPr>
              <w:t>分</w:t>
            </w:r>
            <w:r w:rsidRPr="003F2B3F">
              <w:rPr>
                <w:kern w:val="2"/>
                <w:szCs w:val="24"/>
              </w:rPr>
              <w:t xml:space="preserve"> </w:t>
            </w:r>
            <w:r w:rsidRPr="003F2B3F">
              <w:rPr>
                <w:kern w:val="2"/>
                <w:szCs w:val="24"/>
              </w:rPr>
              <w:t>配</w:t>
            </w:r>
            <w:r w:rsidRPr="003F2B3F">
              <w:rPr>
                <w:kern w:val="2"/>
                <w:szCs w:val="24"/>
              </w:rPr>
              <w:t xml:space="preserve"> </w:t>
            </w:r>
            <w:r w:rsidRPr="003F2B3F">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(3,649)</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(108,437)</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(238,697)</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(373,274)</w:t>
            </w:r>
          </w:p>
        </w:tc>
      </w:tr>
      <w:tr w:rsidR="002528CB" w:rsidRPr="003F2B3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C26408" w:rsidRPr="003F2B3F" w:rsidRDefault="00C26408" w:rsidP="00C26408">
            <w:pPr>
              <w:jc w:val="right"/>
              <w:rPr>
                <w:rFonts w:eastAsia="標楷體"/>
              </w:rPr>
            </w:pPr>
            <w:r w:rsidRPr="003F2B3F">
              <w:rPr>
                <w:rFonts w:eastAsia="標楷體"/>
              </w:rPr>
              <w:t>分</w:t>
            </w:r>
            <w:r w:rsidRPr="003F2B3F">
              <w:rPr>
                <w:rFonts w:eastAsia="標楷體"/>
              </w:rPr>
              <w:t xml:space="preserve"> </w:t>
            </w:r>
            <w:r w:rsidRPr="003F2B3F">
              <w:rPr>
                <w:rFonts w:eastAsia="標楷體"/>
              </w:rPr>
              <w:t>配</w:t>
            </w:r>
            <w:r w:rsidRPr="003F2B3F">
              <w:rPr>
                <w:rFonts w:eastAsia="標楷體"/>
              </w:rPr>
              <w:t xml:space="preserve"> </w:t>
            </w:r>
            <w:r w:rsidRPr="003F2B3F">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(3,649)</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(108,437)</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(238,697)</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(373,274)</w:t>
            </w:r>
          </w:p>
        </w:tc>
      </w:tr>
      <w:tr w:rsidR="002528CB" w:rsidRPr="003F2B3F">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長期股權投資</w:t>
            </w:r>
          </w:p>
          <w:p w:rsidR="00C26408" w:rsidRPr="003F2B3F" w:rsidRDefault="00C26408" w:rsidP="00C26408">
            <w:pPr>
              <w:jc w:val="distribute"/>
              <w:rPr>
                <w:rFonts w:eastAsia="標楷體"/>
              </w:rPr>
            </w:pPr>
            <w:r w:rsidRPr="003F2B3F">
              <w:rPr>
                <w:rFonts w:eastAsia="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jc w:val="center"/>
              <w:rPr>
                <w:rFonts w:eastAsia="標楷體"/>
              </w:rPr>
            </w:pPr>
            <w:r w:rsidRPr="003F2B3F">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jc w:val="center"/>
              <w:rPr>
                <w:rFonts w:eastAsia="標楷體"/>
              </w:rPr>
            </w:pPr>
            <w:r w:rsidRPr="003F2B3F">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jc w:val="center"/>
              <w:rPr>
                <w:rFonts w:eastAsia="標楷體"/>
              </w:rPr>
            </w:pPr>
            <w:r w:rsidRPr="003F2B3F">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jc w:val="center"/>
              <w:rPr>
                <w:rFonts w:eastAsia="標楷體"/>
              </w:rPr>
            </w:pPr>
            <w:r w:rsidRPr="003F2B3F">
              <w:rPr>
                <w:rFonts w:eastAsia="標楷體"/>
              </w:rPr>
              <w:t>-</w:t>
            </w:r>
          </w:p>
        </w:tc>
      </w:tr>
      <w:tr w:rsidR="002528CB" w:rsidRPr="003F2B3F">
        <w:tc>
          <w:tcPr>
            <w:tcW w:w="2098" w:type="dxa"/>
            <w:gridSpan w:val="2"/>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jc w:val="center"/>
              <w:rPr>
                <w:rFonts w:eastAsia="標楷體"/>
              </w:rPr>
            </w:pPr>
            <w:r w:rsidRPr="003F2B3F">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jc w:val="center"/>
              <w:rPr>
                <w:rFonts w:eastAsia="標楷體"/>
              </w:rPr>
            </w:pPr>
            <w:r w:rsidRPr="003F2B3F">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jc w:val="center"/>
              <w:rPr>
                <w:rFonts w:eastAsia="標楷體"/>
              </w:rPr>
            </w:pPr>
            <w:r w:rsidRPr="003F2B3F">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jc w:val="center"/>
              <w:rPr>
                <w:rFonts w:eastAsia="標楷體"/>
              </w:rPr>
            </w:pPr>
            <w:r w:rsidRPr="003F2B3F">
              <w:rPr>
                <w:rFonts w:eastAsia="標楷體"/>
              </w:rPr>
              <w:t>-</w:t>
            </w:r>
          </w:p>
        </w:tc>
      </w:tr>
      <w:tr w:rsidR="002528CB" w:rsidRPr="003F2B3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C26408" w:rsidRPr="003F2B3F" w:rsidRDefault="00C26408" w:rsidP="00C26408">
            <w:pPr>
              <w:jc w:val="distribute"/>
              <w:rPr>
                <w:rFonts w:eastAsia="標楷體"/>
              </w:rPr>
            </w:pPr>
            <w:r w:rsidRPr="003F2B3F">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C26408" w:rsidRPr="003F2B3F" w:rsidRDefault="00C26408" w:rsidP="00C26408">
            <w:pPr>
              <w:pStyle w:val="ac"/>
              <w:adjustRightInd/>
              <w:snapToGrid/>
              <w:spacing w:line="240" w:lineRule="auto"/>
              <w:textAlignment w:val="auto"/>
              <w:rPr>
                <w:kern w:val="2"/>
                <w:szCs w:val="24"/>
              </w:rPr>
            </w:pPr>
            <w:r w:rsidRPr="003F2B3F">
              <w:rPr>
                <w:kern w:val="2"/>
                <w:szCs w:val="24"/>
              </w:rPr>
              <w:t>分</w:t>
            </w:r>
            <w:r w:rsidRPr="003F2B3F">
              <w:rPr>
                <w:kern w:val="2"/>
                <w:szCs w:val="24"/>
              </w:rPr>
              <w:t xml:space="preserve"> </w:t>
            </w:r>
            <w:r w:rsidRPr="003F2B3F">
              <w:rPr>
                <w:kern w:val="2"/>
                <w:szCs w:val="24"/>
              </w:rPr>
              <w:t>配</w:t>
            </w:r>
            <w:r w:rsidRPr="003F2B3F">
              <w:rPr>
                <w:kern w:val="2"/>
                <w:szCs w:val="24"/>
              </w:rPr>
              <w:t xml:space="preserve"> </w:t>
            </w:r>
            <w:r w:rsidRPr="003F2B3F">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4,351</w:t>
            </w:r>
          </w:p>
        </w:tc>
        <w:tc>
          <w:tcPr>
            <w:tcW w:w="1665"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439,133</w:t>
            </w:r>
          </w:p>
        </w:tc>
        <w:tc>
          <w:tcPr>
            <w:tcW w:w="1610" w:type="dxa"/>
            <w:tcBorders>
              <w:top w:val="single" w:sz="6" w:space="0" w:color="auto"/>
              <w:left w:val="single" w:sz="6" w:space="0" w:color="auto"/>
              <w:bottom w:val="single" w:sz="6"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808,873</w:t>
            </w:r>
          </w:p>
        </w:tc>
        <w:tc>
          <w:tcPr>
            <w:tcW w:w="1691" w:type="dxa"/>
            <w:tcBorders>
              <w:top w:val="single" w:sz="6" w:space="0" w:color="auto"/>
              <w:left w:val="single" w:sz="4" w:space="0" w:color="auto"/>
              <w:bottom w:val="single" w:sz="6"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705,562</w:t>
            </w:r>
          </w:p>
        </w:tc>
      </w:tr>
      <w:tr w:rsidR="002528CB" w:rsidRPr="003F2B3F">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C26408" w:rsidRPr="003F2B3F" w:rsidRDefault="00C26408" w:rsidP="00C26408">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C26408" w:rsidRPr="003F2B3F" w:rsidRDefault="00C26408" w:rsidP="00C26408">
            <w:pPr>
              <w:jc w:val="right"/>
              <w:rPr>
                <w:rFonts w:eastAsia="標楷體"/>
              </w:rPr>
            </w:pPr>
            <w:r w:rsidRPr="003F2B3F">
              <w:rPr>
                <w:rFonts w:eastAsia="標楷體"/>
              </w:rPr>
              <w:t>分</w:t>
            </w:r>
            <w:r w:rsidRPr="003F2B3F">
              <w:rPr>
                <w:rFonts w:eastAsia="標楷體"/>
              </w:rPr>
              <w:t xml:space="preserve"> </w:t>
            </w:r>
            <w:r w:rsidRPr="003F2B3F">
              <w:rPr>
                <w:rFonts w:eastAsia="標楷體"/>
              </w:rPr>
              <w:t>配</w:t>
            </w:r>
            <w:r w:rsidRPr="003F2B3F">
              <w:rPr>
                <w:rFonts w:eastAsia="標楷體"/>
              </w:rPr>
              <w:t xml:space="preserve"> </w:t>
            </w:r>
            <w:r w:rsidRPr="003F2B3F">
              <w:rPr>
                <w:rFonts w:eastAsia="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C26408" w:rsidRPr="003F2B3F" w:rsidRDefault="00C26408" w:rsidP="00C26408">
            <w:pPr>
              <w:ind w:right="57"/>
              <w:jc w:val="center"/>
              <w:rPr>
                <w:rFonts w:eastAsia="標楷體"/>
              </w:rPr>
            </w:pPr>
            <w:r w:rsidRPr="003F2B3F">
              <w:rPr>
                <w:rFonts w:eastAsia="標楷體"/>
              </w:rPr>
              <w:t>-</w:t>
            </w:r>
          </w:p>
        </w:tc>
        <w:tc>
          <w:tcPr>
            <w:tcW w:w="1736" w:type="dxa"/>
            <w:tcBorders>
              <w:top w:val="single" w:sz="6" w:space="0" w:color="auto"/>
              <w:left w:val="single" w:sz="6" w:space="0" w:color="auto"/>
              <w:bottom w:val="single" w:sz="12"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4,351</w:t>
            </w:r>
          </w:p>
        </w:tc>
        <w:tc>
          <w:tcPr>
            <w:tcW w:w="1665" w:type="dxa"/>
            <w:tcBorders>
              <w:top w:val="single" w:sz="6" w:space="0" w:color="auto"/>
              <w:left w:val="single" w:sz="6" w:space="0" w:color="auto"/>
              <w:bottom w:val="single" w:sz="12"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439,133</w:t>
            </w:r>
          </w:p>
        </w:tc>
        <w:tc>
          <w:tcPr>
            <w:tcW w:w="1610" w:type="dxa"/>
            <w:tcBorders>
              <w:top w:val="single" w:sz="6" w:space="0" w:color="auto"/>
              <w:left w:val="single" w:sz="6" w:space="0" w:color="auto"/>
              <w:bottom w:val="single" w:sz="12" w:space="0" w:color="auto"/>
              <w:right w:val="single" w:sz="6"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808,873</w:t>
            </w:r>
          </w:p>
        </w:tc>
        <w:tc>
          <w:tcPr>
            <w:tcW w:w="1691" w:type="dxa"/>
            <w:tcBorders>
              <w:top w:val="single" w:sz="6" w:space="0" w:color="auto"/>
              <w:left w:val="single" w:sz="4" w:space="0" w:color="auto"/>
              <w:bottom w:val="single" w:sz="12" w:space="0" w:color="auto"/>
              <w:right w:val="single" w:sz="12" w:space="0" w:color="auto"/>
            </w:tcBorders>
            <w:vAlign w:val="center"/>
          </w:tcPr>
          <w:p w:rsidR="00C26408" w:rsidRPr="003F2B3F" w:rsidRDefault="00C26408" w:rsidP="00C26408">
            <w:pPr>
              <w:spacing w:line="280" w:lineRule="exact"/>
              <w:ind w:rightChars="20" w:right="48"/>
              <w:jc w:val="center"/>
              <w:rPr>
                <w:rFonts w:eastAsia="標楷體"/>
              </w:rPr>
            </w:pPr>
            <w:r w:rsidRPr="003F2B3F">
              <w:rPr>
                <w:rFonts w:eastAsia="標楷體"/>
              </w:rPr>
              <w:t>705,562</w:t>
            </w:r>
          </w:p>
        </w:tc>
      </w:tr>
    </w:tbl>
    <w:p w:rsidR="00C26408" w:rsidRPr="003F2B3F" w:rsidRDefault="00C26408" w:rsidP="00C26408">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3F2B3F">
        <w:rPr>
          <w:rFonts w:ascii="Times New Roman" w:eastAsia="標楷體" w:hAnsi="Times New Roman" w:cs="Times New Roman"/>
        </w:rPr>
        <w:t>註</w:t>
      </w:r>
      <w:proofErr w:type="gramEnd"/>
      <w:r w:rsidRPr="003F2B3F">
        <w:rPr>
          <w:rFonts w:ascii="Times New Roman" w:eastAsia="標楷體" w:hAnsi="Times New Roman" w:cs="Times New Roman"/>
        </w:rPr>
        <w:t>1</w:t>
      </w:r>
      <w:r w:rsidRPr="003F2B3F">
        <w:rPr>
          <w:rFonts w:ascii="Times New Roman" w:eastAsia="標楷體" w:hAnsi="Times New Roman" w:cs="Times New Roman"/>
        </w:rPr>
        <w:t>：本公司成立日期為</w:t>
      </w:r>
      <w:r w:rsidRPr="003F2B3F">
        <w:rPr>
          <w:rFonts w:ascii="Times New Roman" w:eastAsia="標楷體" w:hAnsi="Times New Roman" w:cs="Times New Roman"/>
        </w:rPr>
        <w:t>101.12.21</w:t>
      </w:r>
      <w:r w:rsidR="00113C35" w:rsidRPr="003F2B3F">
        <w:rPr>
          <w:rFonts w:ascii="Times New Roman" w:eastAsia="標楷體" w:hAnsi="Times New Roman" w:cs="Times New Roman"/>
        </w:rPr>
        <w:t>。</w:t>
      </w:r>
    </w:p>
    <w:p w:rsidR="00C26408" w:rsidRPr="003F2B3F" w:rsidRDefault="00C26408" w:rsidP="00C26408">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3F2B3F">
        <w:rPr>
          <w:rFonts w:ascii="Times New Roman" w:eastAsia="標楷體" w:hAnsi="Times New Roman" w:cs="Times New Roman"/>
        </w:rPr>
        <w:t>註</w:t>
      </w:r>
      <w:proofErr w:type="gramEnd"/>
      <w:r w:rsidRPr="003F2B3F">
        <w:rPr>
          <w:rFonts w:ascii="Times New Roman" w:eastAsia="標楷體" w:hAnsi="Times New Roman" w:cs="Times New Roman"/>
        </w:rPr>
        <w:t>2</w:t>
      </w:r>
      <w:r w:rsidRPr="003F2B3F">
        <w:rPr>
          <w:rFonts w:ascii="Times New Roman" w:eastAsia="標楷體" w:hAnsi="Times New Roman" w:cs="Times New Roman"/>
        </w:rPr>
        <w:t>：</w:t>
      </w:r>
      <w:proofErr w:type="gramStart"/>
      <w:r w:rsidRPr="003F2B3F">
        <w:rPr>
          <w:rFonts w:ascii="Times New Roman" w:eastAsia="標楷體" w:hAnsi="Times New Roman" w:cs="Times New Roman"/>
        </w:rPr>
        <w:t>101</w:t>
      </w:r>
      <w:proofErr w:type="gramEnd"/>
      <w:r w:rsidRPr="003F2B3F">
        <w:rPr>
          <w:rFonts w:ascii="Times New Roman" w:eastAsia="標楷體" w:hAnsi="Times New Roman" w:cs="Times New Roman"/>
        </w:rPr>
        <w:t>年度資料係本公司自結數</w:t>
      </w:r>
      <w:r w:rsidR="00113C35" w:rsidRPr="003F2B3F">
        <w:rPr>
          <w:rFonts w:ascii="Times New Roman" w:eastAsia="標楷體" w:hAnsi="Times New Roman" w:cs="Times New Roman"/>
        </w:rPr>
        <w:t>。</w:t>
      </w:r>
    </w:p>
    <w:p w:rsidR="00C26408" w:rsidRPr="003F2B3F" w:rsidRDefault="00C26408" w:rsidP="00C26408">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3F2B3F">
        <w:rPr>
          <w:rFonts w:ascii="Times New Roman" w:eastAsia="標楷體" w:hAnsi="Times New Roman" w:cs="Times New Roman"/>
        </w:rPr>
        <w:t>註</w:t>
      </w:r>
      <w:proofErr w:type="gramEnd"/>
      <w:r w:rsidRPr="003F2B3F">
        <w:rPr>
          <w:rFonts w:ascii="Times New Roman" w:eastAsia="標楷體" w:hAnsi="Times New Roman" w:cs="Times New Roman"/>
        </w:rPr>
        <w:t>3</w:t>
      </w:r>
      <w:r w:rsidRPr="003F2B3F">
        <w:rPr>
          <w:rFonts w:ascii="Times New Roman" w:eastAsia="標楷體" w:hAnsi="Times New Roman" w:cs="Times New Roman"/>
        </w:rPr>
        <w:t>：</w:t>
      </w:r>
      <w:proofErr w:type="gramStart"/>
      <w:r w:rsidRPr="003F2B3F">
        <w:rPr>
          <w:rFonts w:ascii="Times New Roman" w:eastAsia="標楷體" w:hAnsi="Times New Roman" w:cs="Times New Roman"/>
        </w:rPr>
        <w:t>102</w:t>
      </w:r>
      <w:proofErr w:type="gramEnd"/>
      <w:r w:rsidRPr="003F2B3F">
        <w:rPr>
          <w:rFonts w:ascii="Times New Roman" w:eastAsia="標楷體" w:hAnsi="Times New Roman" w:cs="Times New Roman"/>
        </w:rPr>
        <w:t>年度資料經會計師查核簽證，係</w:t>
      </w:r>
      <w:proofErr w:type="gramStart"/>
      <w:r w:rsidRPr="003F2B3F">
        <w:rPr>
          <w:rFonts w:ascii="Times New Roman" w:eastAsia="標楷體" w:hAnsi="Times New Roman" w:cs="Times New Roman"/>
        </w:rPr>
        <w:t>採</w:t>
      </w:r>
      <w:proofErr w:type="gramEnd"/>
      <w:r w:rsidRPr="003F2B3F">
        <w:rPr>
          <w:rFonts w:ascii="Times New Roman" w:eastAsia="標楷體" w:hAnsi="Times New Roman" w:cs="Times New Roman"/>
        </w:rPr>
        <w:t>我國財務會計準則</w:t>
      </w:r>
      <w:r w:rsidR="00113C35" w:rsidRPr="003F2B3F">
        <w:rPr>
          <w:rFonts w:ascii="Times New Roman" w:eastAsia="標楷體" w:hAnsi="Times New Roman" w:cs="Times New Roman"/>
        </w:rPr>
        <w:t>。</w:t>
      </w:r>
    </w:p>
    <w:p w:rsidR="00C26408" w:rsidRPr="003F2B3F" w:rsidRDefault="00C26408" w:rsidP="00C26408">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3F2B3F">
        <w:rPr>
          <w:rFonts w:ascii="Times New Roman" w:eastAsia="標楷體" w:hAnsi="Times New Roman" w:cs="Times New Roman"/>
        </w:rPr>
        <w:t>註</w:t>
      </w:r>
      <w:proofErr w:type="gramEnd"/>
      <w:r w:rsidRPr="003F2B3F">
        <w:rPr>
          <w:rFonts w:ascii="Times New Roman" w:eastAsia="標楷體" w:hAnsi="Times New Roman" w:cs="Times New Roman"/>
        </w:rPr>
        <w:t>4</w:t>
      </w:r>
      <w:r w:rsidRPr="003F2B3F">
        <w:rPr>
          <w:rFonts w:ascii="Times New Roman" w:eastAsia="標楷體" w:hAnsi="Times New Roman" w:cs="Times New Roman"/>
        </w:rPr>
        <w:t>：</w:t>
      </w:r>
      <w:r w:rsidRPr="003F2B3F">
        <w:rPr>
          <w:rFonts w:ascii="Times New Roman" w:eastAsia="標楷體" w:hAnsi="Times New Roman" w:cs="Times New Roman"/>
        </w:rPr>
        <w:t>103~</w:t>
      </w:r>
      <w:proofErr w:type="gramStart"/>
      <w:r w:rsidRPr="003F2B3F">
        <w:rPr>
          <w:rFonts w:ascii="Times New Roman" w:eastAsia="標楷體" w:hAnsi="Times New Roman" w:cs="Times New Roman"/>
        </w:rPr>
        <w:t>104</w:t>
      </w:r>
      <w:proofErr w:type="gramEnd"/>
      <w:r w:rsidRPr="003F2B3F">
        <w:rPr>
          <w:rFonts w:ascii="Times New Roman" w:eastAsia="標楷體" w:hAnsi="Times New Roman" w:cs="Times New Roman"/>
        </w:rPr>
        <w:t>年度資料經會計師查核簽證，係</w:t>
      </w:r>
      <w:proofErr w:type="gramStart"/>
      <w:r w:rsidRPr="003F2B3F">
        <w:rPr>
          <w:rFonts w:ascii="Times New Roman" w:eastAsia="標楷體" w:hAnsi="Times New Roman" w:cs="Times New Roman"/>
        </w:rPr>
        <w:t>採</w:t>
      </w:r>
      <w:proofErr w:type="gramEnd"/>
      <w:r w:rsidRPr="003F2B3F">
        <w:rPr>
          <w:rFonts w:ascii="Times New Roman" w:eastAsia="標楷體" w:hAnsi="Times New Roman" w:cs="Times New Roman"/>
        </w:rPr>
        <w:t>國際財務報告準則</w:t>
      </w:r>
      <w:r w:rsidR="00113C35" w:rsidRPr="003F2B3F">
        <w:rPr>
          <w:rFonts w:ascii="Times New Roman" w:eastAsia="標楷體" w:hAnsi="Times New Roman" w:cs="Times New Roman"/>
        </w:rPr>
        <w:t>。</w:t>
      </w:r>
    </w:p>
    <w:p w:rsidR="00161123" w:rsidRPr="003F2B3F" w:rsidRDefault="00161123">
      <w:pPr>
        <w:jc w:val="both"/>
        <w:rPr>
          <w:rFonts w:eastAsia="標楷體"/>
        </w:rPr>
      </w:pPr>
      <w:r w:rsidRPr="003F2B3F">
        <w:rPr>
          <w:rFonts w:eastAsia="標楷體"/>
        </w:rPr>
        <w:t xml:space="preserve">                                                        </w:t>
      </w:r>
    </w:p>
    <w:p w:rsidR="00C26408" w:rsidRPr="003F2B3F" w:rsidRDefault="00C26408">
      <w:pPr>
        <w:rPr>
          <w:rFonts w:eastAsia="標楷體"/>
        </w:rPr>
      </w:pPr>
    </w:p>
    <w:p w:rsidR="00A47ADA" w:rsidRPr="003F2B3F" w:rsidRDefault="00A47ADA">
      <w:pPr>
        <w:rPr>
          <w:rFonts w:eastAsia="標楷體"/>
        </w:rPr>
      </w:pPr>
    </w:p>
    <w:p w:rsidR="00A47ADA" w:rsidRPr="003F2B3F" w:rsidRDefault="00A47ADA">
      <w:pPr>
        <w:rPr>
          <w:rFonts w:eastAsia="標楷體"/>
        </w:rPr>
      </w:pPr>
    </w:p>
    <w:p w:rsidR="00A47ADA" w:rsidRPr="003F2B3F" w:rsidRDefault="00A47ADA">
      <w:pPr>
        <w:rPr>
          <w:rFonts w:eastAsia="標楷體"/>
        </w:rPr>
      </w:pPr>
    </w:p>
    <w:p w:rsidR="00A47ADA" w:rsidRPr="003F2B3F" w:rsidRDefault="00A47ADA">
      <w:pPr>
        <w:rPr>
          <w:rFonts w:eastAsia="標楷體"/>
        </w:rPr>
      </w:pPr>
    </w:p>
    <w:p w:rsidR="00A47ADA" w:rsidRPr="003F2B3F" w:rsidRDefault="00A47ADA">
      <w:pPr>
        <w:rPr>
          <w:rFonts w:eastAsia="標楷體"/>
        </w:rPr>
      </w:pPr>
    </w:p>
    <w:p w:rsidR="00A47ADA" w:rsidRPr="003F2B3F" w:rsidRDefault="00A47ADA">
      <w:pPr>
        <w:rPr>
          <w:rFonts w:eastAsia="標楷體"/>
        </w:rPr>
      </w:pPr>
    </w:p>
    <w:p w:rsidR="00A47ADA" w:rsidRPr="003F2B3F" w:rsidRDefault="00A47ADA">
      <w:pPr>
        <w:rPr>
          <w:rFonts w:eastAsia="標楷體"/>
        </w:rPr>
      </w:pPr>
    </w:p>
    <w:p w:rsidR="00C26408" w:rsidRPr="003F2B3F" w:rsidRDefault="00C26408">
      <w:pPr>
        <w:rPr>
          <w:rFonts w:eastAsia="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2528CB" w:rsidRPr="003F2B3F">
        <w:trPr>
          <w:cantSplit/>
          <w:trHeight w:val="707"/>
        </w:trPr>
        <w:tc>
          <w:tcPr>
            <w:tcW w:w="9748" w:type="dxa"/>
            <w:gridSpan w:val="5"/>
            <w:tcBorders>
              <w:bottom w:val="single" w:sz="6" w:space="0" w:color="auto"/>
            </w:tcBorders>
          </w:tcPr>
          <w:bookmarkStart w:id="7" w:name="最近三年度財務比率及股利發放情形"/>
          <w:bookmarkEnd w:id="7"/>
          <w:p w:rsidR="00161123" w:rsidRPr="003F2B3F" w:rsidRDefault="00910C26">
            <w:pPr>
              <w:jc w:val="center"/>
              <w:rPr>
                <w:rFonts w:eastAsia="標楷體"/>
                <w:b/>
                <w:bCs/>
                <w:sz w:val="28"/>
              </w:rPr>
            </w:pPr>
            <w:r>
              <w:rPr>
                <w:rFonts w:eastAsia="標楷體"/>
                <w:b/>
                <w:bCs/>
                <w:noProof/>
                <w:sz w:val="28"/>
              </w:rPr>
              <mc:AlternateContent>
                <mc:Choice Requires="wps">
                  <w:drawing>
                    <wp:anchor distT="0" distB="0" distL="114300" distR="114300" simplePos="0" relativeHeight="251663360" behindDoc="1" locked="0" layoutInCell="1" allowOverlap="1" wp14:anchorId="4CAFE8BF" wp14:editId="1380B803">
                      <wp:simplePos x="0" y="0"/>
                      <wp:positionH relativeFrom="column">
                        <wp:posOffset>0</wp:posOffset>
                      </wp:positionH>
                      <wp:positionV relativeFrom="paragraph">
                        <wp:posOffset>-635</wp:posOffset>
                      </wp:positionV>
                      <wp:extent cx="6172200" cy="450215"/>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670" w:rsidRDefault="00545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left:0;text-align:left;margin-left:0;margin-top:-.05pt;width:486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" fillcolor="#ededed" stroked="f">
                      <v:fill rotate="t" focus="50%" type="gradient"/>
                      <v:textbox>
                        <w:txbxContent>
                          <w:p w:rsidR="00386F23" w:rsidRDefault="00386F23"/>
                        </w:txbxContent>
                      </v:textbox>
                    </v:shape>
                  </w:pict>
                </mc:Fallback>
              </mc:AlternateContent>
            </w:r>
            <w:r w:rsidR="00161123" w:rsidRPr="003F2B3F">
              <w:rPr>
                <w:rFonts w:eastAsia="標楷體"/>
                <w:b/>
                <w:bCs/>
                <w:sz w:val="28"/>
              </w:rPr>
              <w:t>最近</w:t>
            </w:r>
            <w:proofErr w:type="gramStart"/>
            <w:r w:rsidR="00161123" w:rsidRPr="003F2B3F">
              <w:rPr>
                <w:rFonts w:eastAsia="標楷體"/>
                <w:b/>
                <w:bCs/>
                <w:sz w:val="28"/>
              </w:rPr>
              <w:t>三</w:t>
            </w:r>
            <w:proofErr w:type="gramEnd"/>
            <w:r w:rsidR="00161123" w:rsidRPr="003F2B3F">
              <w:rPr>
                <w:rFonts w:eastAsia="標楷體"/>
                <w:b/>
                <w:bCs/>
                <w:sz w:val="28"/>
              </w:rPr>
              <w:t>年度財務比率</w:t>
            </w:r>
          </w:p>
        </w:tc>
      </w:tr>
      <w:tr w:rsidR="002528CB" w:rsidRPr="003F2B3F">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19438A" w:rsidRPr="003F2B3F" w:rsidRDefault="0019438A">
            <w:pPr>
              <w:wordWrap w:val="0"/>
              <w:ind w:left="57" w:right="57"/>
              <w:jc w:val="right"/>
              <w:rPr>
                <w:rFonts w:eastAsia="標楷體"/>
              </w:rPr>
            </w:pPr>
            <w:r w:rsidRPr="003F2B3F">
              <w:rPr>
                <w:rFonts w:eastAsia="標楷體"/>
              </w:rPr>
              <w:t>年</w:t>
            </w:r>
            <w:r w:rsidRPr="003F2B3F">
              <w:rPr>
                <w:rFonts w:eastAsia="標楷體"/>
              </w:rPr>
              <w:t xml:space="preserve">  </w:t>
            </w:r>
            <w:r w:rsidRPr="003F2B3F">
              <w:rPr>
                <w:rFonts w:eastAsia="標楷體"/>
              </w:rPr>
              <w:t>度</w:t>
            </w:r>
          </w:p>
          <w:p w:rsidR="0019438A" w:rsidRPr="003F2B3F" w:rsidRDefault="0019438A">
            <w:pPr>
              <w:ind w:firstLineChars="100" w:firstLine="240"/>
              <w:rPr>
                <w:rFonts w:eastAsia="標楷體"/>
              </w:rPr>
            </w:pPr>
            <w:r w:rsidRPr="003F2B3F">
              <w:rPr>
                <w:rFonts w:eastAsia="標楷體"/>
              </w:rPr>
              <w:t>項</w:t>
            </w:r>
            <w:r w:rsidRPr="003F2B3F">
              <w:rPr>
                <w:rFonts w:eastAsia="標楷體"/>
              </w:rPr>
              <w:t xml:space="preserve">  </w:t>
            </w:r>
            <w:r w:rsidRPr="003F2B3F">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19438A" w:rsidRPr="003F2B3F" w:rsidRDefault="00A47ADA" w:rsidP="00161123">
            <w:pPr>
              <w:jc w:val="center"/>
              <w:rPr>
                <w:rFonts w:eastAsia="標楷體"/>
              </w:rPr>
            </w:pPr>
            <w:r w:rsidRPr="003F2B3F">
              <w:rPr>
                <w:rFonts w:eastAsia="標楷體"/>
              </w:rPr>
              <w:t>102</w:t>
            </w:r>
            <w:r w:rsidR="0019438A" w:rsidRPr="003F2B3F">
              <w:rPr>
                <w:rFonts w:eastAsia="標楷體"/>
              </w:rPr>
              <w:t>年</w:t>
            </w:r>
          </w:p>
          <w:p w:rsidR="00122A0B" w:rsidRPr="003F2B3F" w:rsidRDefault="00122A0B"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1)</w:t>
            </w:r>
          </w:p>
        </w:tc>
        <w:tc>
          <w:tcPr>
            <w:tcW w:w="2160" w:type="dxa"/>
            <w:tcBorders>
              <w:top w:val="single" w:sz="6" w:space="0" w:color="auto"/>
              <w:left w:val="single" w:sz="6" w:space="0" w:color="auto"/>
              <w:bottom w:val="single" w:sz="6" w:space="0" w:color="auto"/>
              <w:right w:val="single" w:sz="6" w:space="0" w:color="auto"/>
            </w:tcBorders>
            <w:vAlign w:val="center"/>
          </w:tcPr>
          <w:p w:rsidR="0019438A" w:rsidRPr="003F2B3F" w:rsidRDefault="00A47ADA" w:rsidP="00161123">
            <w:pPr>
              <w:jc w:val="center"/>
              <w:rPr>
                <w:rFonts w:eastAsia="標楷體"/>
              </w:rPr>
            </w:pPr>
            <w:r w:rsidRPr="003F2B3F">
              <w:rPr>
                <w:rFonts w:eastAsia="標楷體"/>
              </w:rPr>
              <w:t>103</w:t>
            </w:r>
            <w:r w:rsidR="0019438A" w:rsidRPr="003F2B3F">
              <w:rPr>
                <w:rFonts w:eastAsia="標楷體"/>
              </w:rPr>
              <w:t>年</w:t>
            </w:r>
          </w:p>
          <w:p w:rsidR="00122A0B" w:rsidRPr="003F2B3F" w:rsidRDefault="00122A0B"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2)</w:t>
            </w:r>
          </w:p>
        </w:tc>
        <w:tc>
          <w:tcPr>
            <w:tcW w:w="2160" w:type="dxa"/>
            <w:tcBorders>
              <w:top w:val="single" w:sz="6" w:space="0" w:color="auto"/>
              <w:left w:val="single" w:sz="4" w:space="0" w:color="auto"/>
              <w:bottom w:val="single" w:sz="6" w:space="0" w:color="auto"/>
              <w:right w:val="single" w:sz="6" w:space="0" w:color="auto"/>
            </w:tcBorders>
            <w:vAlign w:val="center"/>
          </w:tcPr>
          <w:p w:rsidR="0019438A" w:rsidRPr="003F2B3F" w:rsidRDefault="00A47ADA" w:rsidP="00161123">
            <w:pPr>
              <w:jc w:val="center"/>
              <w:rPr>
                <w:rFonts w:eastAsia="標楷體"/>
              </w:rPr>
            </w:pPr>
            <w:r w:rsidRPr="003F2B3F">
              <w:rPr>
                <w:rFonts w:eastAsia="標楷體"/>
              </w:rPr>
              <w:t>104</w:t>
            </w:r>
            <w:r w:rsidR="0019438A" w:rsidRPr="003F2B3F">
              <w:rPr>
                <w:rFonts w:eastAsia="標楷體"/>
              </w:rPr>
              <w:t>年</w:t>
            </w:r>
          </w:p>
          <w:p w:rsidR="00122A0B" w:rsidRPr="003F2B3F" w:rsidRDefault="00122A0B" w:rsidP="00161123">
            <w:pPr>
              <w:jc w:val="center"/>
              <w:rPr>
                <w:rFonts w:eastAsia="標楷體"/>
              </w:rPr>
            </w:pPr>
            <w:r w:rsidRPr="003F2B3F">
              <w:rPr>
                <w:rFonts w:eastAsia="標楷體"/>
              </w:rPr>
              <w:t>(</w:t>
            </w:r>
            <w:proofErr w:type="gramStart"/>
            <w:r w:rsidRPr="003F2B3F">
              <w:rPr>
                <w:rFonts w:eastAsia="標楷體"/>
              </w:rPr>
              <w:t>註</w:t>
            </w:r>
            <w:proofErr w:type="gramEnd"/>
            <w:r w:rsidRPr="003F2B3F">
              <w:rPr>
                <w:rFonts w:eastAsia="標楷體"/>
              </w:rPr>
              <w:t>2)</w:t>
            </w:r>
          </w:p>
        </w:tc>
      </w:tr>
      <w:tr w:rsidR="002528CB" w:rsidRPr="003F2B3F">
        <w:trPr>
          <w:cantSplit/>
        </w:trPr>
        <w:tc>
          <w:tcPr>
            <w:tcW w:w="568" w:type="dxa"/>
            <w:vMerge w:val="restart"/>
            <w:shd w:val="clear" w:color="auto" w:fill="F9F9F9"/>
          </w:tcPr>
          <w:p w:rsidR="0076359B" w:rsidRPr="003F2B3F" w:rsidRDefault="0076359B" w:rsidP="0076359B">
            <w:pPr>
              <w:spacing w:beforeLines="50" w:before="180"/>
              <w:jc w:val="center"/>
              <w:rPr>
                <w:rFonts w:eastAsia="標楷體"/>
              </w:rPr>
            </w:pPr>
            <w:bookmarkStart w:id="8" w:name="財務比率"/>
            <w:bookmarkEnd w:id="8"/>
            <w:r w:rsidRPr="003F2B3F">
              <w:rPr>
                <w:rFonts w:eastAsia="標楷體"/>
              </w:rPr>
              <w:t>財</w:t>
            </w:r>
          </w:p>
          <w:p w:rsidR="0076359B" w:rsidRPr="003F2B3F" w:rsidRDefault="0076359B" w:rsidP="0076359B">
            <w:pPr>
              <w:jc w:val="center"/>
              <w:rPr>
                <w:rFonts w:eastAsia="標楷體"/>
              </w:rPr>
            </w:pPr>
            <w:proofErr w:type="gramStart"/>
            <w:r w:rsidRPr="003F2B3F">
              <w:rPr>
                <w:rFonts w:eastAsia="標楷體"/>
              </w:rPr>
              <w:t>務</w:t>
            </w:r>
            <w:proofErr w:type="gramEnd"/>
          </w:p>
          <w:p w:rsidR="0076359B" w:rsidRPr="003F2B3F" w:rsidRDefault="0076359B" w:rsidP="0076359B">
            <w:pPr>
              <w:jc w:val="center"/>
              <w:rPr>
                <w:rFonts w:eastAsia="標楷體"/>
              </w:rPr>
            </w:pPr>
            <w:r w:rsidRPr="003F2B3F">
              <w:rPr>
                <w:rFonts w:eastAsia="標楷體"/>
              </w:rPr>
              <w:t>比</w:t>
            </w:r>
          </w:p>
          <w:p w:rsidR="0076359B" w:rsidRPr="003F2B3F" w:rsidRDefault="0076359B" w:rsidP="0076359B">
            <w:pPr>
              <w:jc w:val="center"/>
              <w:rPr>
                <w:rFonts w:eastAsia="標楷體"/>
              </w:rPr>
            </w:pPr>
            <w:r w:rsidRPr="003F2B3F">
              <w:rPr>
                <w:rFonts w:eastAsia="標楷體"/>
              </w:rPr>
              <w:t>率</w:t>
            </w:r>
          </w:p>
        </w:tc>
        <w:tc>
          <w:tcPr>
            <w:tcW w:w="2566" w:type="dxa"/>
            <w:shd w:val="clear" w:color="auto" w:fill="F9F9F9"/>
          </w:tcPr>
          <w:p w:rsidR="0076359B" w:rsidRPr="003F2B3F" w:rsidRDefault="0076359B" w:rsidP="0076359B">
            <w:pPr>
              <w:jc w:val="both"/>
              <w:rPr>
                <w:rFonts w:eastAsia="標楷體"/>
              </w:rPr>
            </w:pPr>
            <w:r w:rsidRPr="003F2B3F">
              <w:rPr>
                <w:rFonts w:eastAsia="標楷體"/>
              </w:rPr>
              <w:t>毛利率</w:t>
            </w:r>
            <w:r w:rsidRPr="003F2B3F">
              <w:rPr>
                <w:rFonts w:eastAsia="標楷體"/>
              </w:rPr>
              <w:t>(%)</w:t>
            </w:r>
          </w:p>
        </w:tc>
        <w:tc>
          <w:tcPr>
            <w:tcW w:w="2294" w:type="dxa"/>
          </w:tcPr>
          <w:p w:rsidR="0076359B" w:rsidRPr="003F2B3F" w:rsidRDefault="0076359B" w:rsidP="0076359B">
            <w:pPr>
              <w:jc w:val="center"/>
              <w:rPr>
                <w:rFonts w:eastAsia="標楷體"/>
              </w:rPr>
            </w:pPr>
            <w:r w:rsidRPr="003F2B3F">
              <w:rPr>
                <w:rFonts w:eastAsia="標楷體"/>
              </w:rPr>
              <w:t>(484.19)</w:t>
            </w:r>
          </w:p>
        </w:tc>
        <w:tc>
          <w:tcPr>
            <w:tcW w:w="2160" w:type="dxa"/>
          </w:tcPr>
          <w:p w:rsidR="0076359B" w:rsidRPr="003F2B3F" w:rsidRDefault="0076359B" w:rsidP="0076359B">
            <w:pPr>
              <w:jc w:val="center"/>
              <w:rPr>
                <w:rFonts w:eastAsia="標楷體"/>
              </w:rPr>
            </w:pPr>
            <w:r w:rsidRPr="003F2B3F">
              <w:rPr>
                <w:rFonts w:eastAsia="標楷體"/>
              </w:rPr>
              <w:t>(39.78)</w:t>
            </w:r>
          </w:p>
        </w:tc>
        <w:tc>
          <w:tcPr>
            <w:tcW w:w="2160" w:type="dxa"/>
          </w:tcPr>
          <w:p w:rsidR="0076359B" w:rsidRPr="003F2B3F" w:rsidRDefault="0076359B" w:rsidP="0076359B">
            <w:pPr>
              <w:jc w:val="center"/>
              <w:rPr>
                <w:rFonts w:eastAsia="標楷體"/>
              </w:rPr>
            </w:pPr>
            <w:r w:rsidRPr="003F2B3F">
              <w:rPr>
                <w:rFonts w:eastAsia="標楷體"/>
              </w:rPr>
              <w:t>7.22</w:t>
            </w:r>
          </w:p>
        </w:tc>
      </w:tr>
      <w:tr w:rsidR="002528CB" w:rsidRPr="003F2B3F">
        <w:trPr>
          <w:cantSplit/>
        </w:trPr>
        <w:tc>
          <w:tcPr>
            <w:tcW w:w="568" w:type="dxa"/>
            <w:vMerge/>
          </w:tcPr>
          <w:p w:rsidR="0076359B" w:rsidRPr="003F2B3F" w:rsidRDefault="0076359B" w:rsidP="0076359B">
            <w:pPr>
              <w:jc w:val="both"/>
              <w:rPr>
                <w:rFonts w:eastAsia="標楷體"/>
              </w:rPr>
            </w:pPr>
          </w:p>
        </w:tc>
        <w:tc>
          <w:tcPr>
            <w:tcW w:w="2566" w:type="dxa"/>
            <w:shd w:val="clear" w:color="auto" w:fill="F9F9F9"/>
          </w:tcPr>
          <w:p w:rsidR="0076359B" w:rsidRPr="003F2B3F" w:rsidRDefault="0076359B" w:rsidP="0076359B">
            <w:pPr>
              <w:jc w:val="both"/>
              <w:rPr>
                <w:rFonts w:eastAsia="標楷體"/>
              </w:rPr>
            </w:pPr>
            <w:r w:rsidRPr="003F2B3F">
              <w:rPr>
                <w:rFonts w:eastAsia="標楷體"/>
              </w:rPr>
              <w:t>流動比率</w:t>
            </w:r>
            <w:r w:rsidRPr="003F2B3F">
              <w:rPr>
                <w:rFonts w:eastAsia="標楷體"/>
              </w:rPr>
              <w:t>(%)</w:t>
            </w:r>
          </w:p>
        </w:tc>
        <w:tc>
          <w:tcPr>
            <w:tcW w:w="2294" w:type="dxa"/>
          </w:tcPr>
          <w:p w:rsidR="0076359B" w:rsidRPr="003F2B3F" w:rsidRDefault="0076359B" w:rsidP="0076359B">
            <w:pPr>
              <w:jc w:val="center"/>
              <w:rPr>
                <w:rFonts w:eastAsia="標楷體"/>
              </w:rPr>
            </w:pPr>
            <w:r w:rsidRPr="003F2B3F">
              <w:rPr>
                <w:rFonts w:eastAsia="標楷體"/>
              </w:rPr>
              <w:t>445.75</w:t>
            </w:r>
          </w:p>
        </w:tc>
        <w:tc>
          <w:tcPr>
            <w:tcW w:w="2160" w:type="dxa"/>
          </w:tcPr>
          <w:p w:rsidR="0076359B" w:rsidRPr="003F2B3F" w:rsidRDefault="0076359B" w:rsidP="0076359B">
            <w:pPr>
              <w:jc w:val="center"/>
              <w:rPr>
                <w:rFonts w:eastAsia="標楷體"/>
              </w:rPr>
            </w:pPr>
            <w:r w:rsidRPr="003F2B3F">
              <w:rPr>
                <w:rFonts w:eastAsia="標楷體"/>
              </w:rPr>
              <w:t>765.11</w:t>
            </w:r>
          </w:p>
        </w:tc>
        <w:tc>
          <w:tcPr>
            <w:tcW w:w="2160" w:type="dxa"/>
          </w:tcPr>
          <w:p w:rsidR="0076359B" w:rsidRPr="003F2B3F" w:rsidRDefault="0076359B" w:rsidP="0076359B">
            <w:pPr>
              <w:jc w:val="center"/>
              <w:rPr>
                <w:rFonts w:eastAsia="標楷體"/>
              </w:rPr>
            </w:pPr>
            <w:r w:rsidRPr="003F2B3F">
              <w:rPr>
                <w:rFonts w:eastAsia="標楷體"/>
              </w:rPr>
              <w:t>781.69</w:t>
            </w:r>
          </w:p>
        </w:tc>
      </w:tr>
      <w:tr w:rsidR="002528CB" w:rsidRPr="003F2B3F">
        <w:trPr>
          <w:cantSplit/>
        </w:trPr>
        <w:tc>
          <w:tcPr>
            <w:tcW w:w="568" w:type="dxa"/>
            <w:vMerge/>
          </w:tcPr>
          <w:p w:rsidR="0076359B" w:rsidRPr="003F2B3F" w:rsidRDefault="0076359B" w:rsidP="0076359B">
            <w:pPr>
              <w:jc w:val="both"/>
              <w:rPr>
                <w:rFonts w:eastAsia="標楷體"/>
              </w:rPr>
            </w:pPr>
          </w:p>
        </w:tc>
        <w:tc>
          <w:tcPr>
            <w:tcW w:w="2566" w:type="dxa"/>
            <w:shd w:val="clear" w:color="auto" w:fill="F9F9F9"/>
          </w:tcPr>
          <w:p w:rsidR="0076359B" w:rsidRPr="003F2B3F" w:rsidRDefault="0076359B" w:rsidP="0076359B">
            <w:pPr>
              <w:jc w:val="both"/>
              <w:rPr>
                <w:rFonts w:eastAsia="標楷體"/>
              </w:rPr>
            </w:pPr>
            <w:r w:rsidRPr="003F2B3F">
              <w:rPr>
                <w:rFonts w:eastAsia="標楷體"/>
              </w:rPr>
              <w:t>應收帳款天數</w:t>
            </w:r>
            <w:r w:rsidRPr="003F2B3F">
              <w:rPr>
                <w:rFonts w:eastAsia="標楷體"/>
              </w:rPr>
              <w:t>(</w:t>
            </w:r>
            <w:r w:rsidRPr="003F2B3F">
              <w:rPr>
                <w:rFonts w:eastAsia="標楷體"/>
              </w:rPr>
              <w:t>天</w:t>
            </w:r>
            <w:r w:rsidRPr="003F2B3F">
              <w:rPr>
                <w:rFonts w:eastAsia="標楷體"/>
              </w:rPr>
              <w:t>)</w:t>
            </w:r>
          </w:p>
        </w:tc>
        <w:tc>
          <w:tcPr>
            <w:tcW w:w="2294" w:type="dxa"/>
          </w:tcPr>
          <w:p w:rsidR="0076359B" w:rsidRPr="003F2B3F" w:rsidRDefault="0076359B" w:rsidP="0076359B">
            <w:pPr>
              <w:jc w:val="center"/>
              <w:rPr>
                <w:rFonts w:eastAsia="標楷體"/>
              </w:rPr>
            </w:pPr>
            <w:r w:rsidRPr="003F2B3F">
              <w:rPr>
                <w:rFonts w:eastAsia="標楷體"/>
              </w:rPr>
              <w:t>81.84</w:t>
            </w:r>
          </w:p>
        </w:tc>
        <w:tc>
          <w:tcPr>
            <w:tcW w:w="2160" w:type="dxa"/>
          </w:tcPr>
          <w:p w:rsidR="0076359B" w:rsidRPr="003F2B3F" w:rsidRDefault="0076359B" w:rsidP="0076359B">
            <w:pPr>
              <w:jc w:val="center"/>
              <w:rPr>
                <w:rFonts w:eastAsia="標楷體"/>
              </w:rPr>
            </w:pPr>
            <w:r w:rsidRPr="003F2B3F">
              <w:rPr>
                <w:rFonts w:eastAsia="標楷體"/>
              </w:rPr>
              <w:t>100.55</w:t>
            </w:r>
          </w:p>
        </w:tc>
        <w:tc>
          <w:tcPr>
            <w:tcW w:w="2160" w:type="dxa"/>
          </w:tcPr>
          <w:p w:rsidR="0076359B" w:rsidRPr="003F2B3F" w:rsidRDefault="0076359B" w:rsidP="0076359B">
            <w:pPr>
              <w:jc w:val="center"/>
              <w:rPr>
                <w:rFonts w:eastAsia="標楷體"/>
              </w:rPr>
            </w:pPr>
            <w:r w:rsidRPr="003F2B3F">
              <w:rPr>
                <w:rFonts w:eastAsia="標楷體"/>
              </w:rPr>
              <w:t>134.69</w:t>
            </w:r>
          </w:p>
        </w:tc>
      </w:tr>
      <w:tr w:rsidR="002528CB" w:rsidRPr="003F2B3F">
        <w:trPr>
          <w:cantSplit/>
        </w:trPr>
        <w:tc>
          <w:tcPr>
            <w:tcW w:w="568" w:type="dxa"/>
            <w:vMerge/>
          </w:tcPr>
          <w:p w:rsidR="0076359B" w:rsidRPr="003F2B3F" w:rsidRDefault="0076359B" w:rsidP="0076359B">
            <w:pPr>
              <w:jc w:val="both"/>
              <w:rPr>
                <w:rFonts w:eastAsia="標楷體"/>
              </w:rPr>
            </w:pPr>
          </w:p>
        </w:tc>
        <w:tc>
          <w:tcPr>
            <w:tcW w:w="2566" w:type="dxa"/>
            <w:shd w:val="clear" w:color="auto" w:fill="F9F9F9"/>
          </w:tcPr>
          <w:p w:rsidR="0076359B" w:rsidRPr="003F2B3F" w:rsidRDefault="0076359B" w:rsidP="0076359B">
            <w:pPr>
              <w:jc w:val="both"/>
              <w:rPr>
                <w:rFonts w:eastAsia="標楷體"/>
              </w:rPr>
            </w:pPr>
            <w:r w:rsidRPr="003F2B3F">
              <w:rPr>
                <w:rFonts w:eastAsia="標楷體"/>
              </w:rPr>
              <w:t>存貨週轉天數</w:t>
            </w:r>
            <w:r w:rsidRPr="003F2B3F">
              <w:rPr>
                <w:rFonts w:eastAsia="標楷體"/>
              </w:rPr>
              <w:t>(</w:t>
            </w:r>
            <w:r w:rsidRPr="003F2B3F">
              <w:rPr>
                <w:rFonts w:eastAsia="標楷體"/>
              </w:rPr>
              <w:t>天</w:t>
            </w:r>
            <w:r w:rsidRPr="003F2B3F">
              <w:rPr>
                <w:rFonts w:eastAsia="標楷體"/>
              </w:rPr>
              <w:t>)</w:t>
            </w:r>
          </w:p>
        </w:tc>
        <w:tc>
          <w:tcPr>
            <w:tcW w:w="2294" w:type="dxa"/>
          </w:tcPr>
          <w:p w:rsidR="0076359B" w:rsidRPr="003F2B3F" w:rsidRDefault="0076359B" w:rsidP="0076359B">
            <w:pPr>
              <w:jc w:val="center"/>
              <w:rPr>
                <w:rFonts w:eastAsia="標楷體"/>
              </w:rPr>
            </w:pPr>
            <w:r w:rsidRPr="003F2B3F">
              <w:rPr>
                <w:rFonts w:eastAsia="標楷體"/>
              </w:rPr>
              <w:t>-</w:t>
            </w:r>
          </w:p>
        </w:tc>
        <w:tc>
          <w:tcPr>
            <w:tcW w:w="2160" w:type="dxa"/>
          </w:tcPr>
          <w:p w:rsidR="0076359B" w:rsidRPr="003F2B3F" w:rsidRDefault="0076359B" w:rsidP="0076359B">
            <w:pPr>
              <w:jc w:val="center"/>
              <w:rPr>
                <w:rFonts w:eastAsia="標楷體"/>
              </w:rPr>
            </w:pPr>
            <w:r w:rsidRPr="003F2B3F">
              <w:rPr>
                <w:rFonts w:eastAsia="標楷體"/>
              </w:rPr>
              <w:t>-</w:t>
            </w:r>
          </w:p>
        </w:tc>
        <w:tc>
          <w:tcPr>
            <w:tcW w:w="2160" w:type="dxa"/>
          </w:tcPr>
          <w:p w:rsidR="0076359B" w:rsidRPr="003F2B3F" w:rsidRDefault="0076359B" w:rsidP="0076359B">
            <w:pPr>
              <w:jc w:val="center"/>
              <w:rPr>
                <w:rFonts w:eastAsia="標楷體"/>
              </w:rPr>
            </w:pPr>
            <w:r w:rsidRPr="003F2B3F">
              <w:rPr>
                <w:rFonts w:eastAsia="標楷體"/>
              </w:rPr>
              <w:t>-</w:t>
            </w:r>
          </w:p>
        </w:tc>
      </w:tr>
      <w:tr w:rsidR="002528CB" w:rsidRPr="003F2B3F">
        <w:trPr>
          <w:cantSplit/>
        </w:trPr>
        <w:tc>
          <w:tcPr>
            <w:tcW w:w="568" w:type="dxa"/>
            <w:vMerge/>
          </w:tcPr>
          <w:p w:rsidR="0076359B" w:rsidRPr="003F2B3F" w:rsidRDefault="0076359B" w:rsidP="0076359B">
            <w:pPr>
              <w:jc w:val="both"/>
              <w:rPr>
                <w:rFonts w:eastAsia="標楷體"/>
              </w:rPr>
            </w:pPr>
          </w:p>
        </w:tc>
        <w:tc>
          <w:tcPr>
            <w:tcW w:w="2566" w:type="dxa"/>
            <w:shd w:val="clear" w:color="auto" w:fill="F9F9F9"/>
          </w:tcPr>
          <w:p w:rsidR="0076359B" w:rsidRPr="003F2B3F" w:rsidRDefault="0076359B" w:rsidP="0076359B">
            <w:pPr>
              <w:jc w:val="both"/>
              <w:rPr>
                <w:rFonts w:eastAsia="標楷體"/>
              </w:rPr>
            </w:pPr>
            <w:r w:rsidRPr="003F2B3F">
              <w:rPr>
                <w:rFonts w:eastAsia="標楷體"/>
              </w:rPr>
              <w:t>負債比率</w:t>
            </w:r>
            <w:r w:rsidRPr="003F2B3F">
              <w:rPr>
                <w:rFonts w:eastAsia="標楷體"/>
              </w:rPr>
              <w:t>(%)</w:t>
            </w:r>
          </w:p>
        </w:tc>
        <w:tc>
          <w:tcPr>
            <w:tcW w:w="2294" w:type="dxa"/>
          </w:tcPr>
          <w:p w:rsidR="0076359B" w:rsidRPr="003F2B3F" w:rsidRDefault="0076359B" w:rsidP="0076359B">
            <w:pPr>
              <w:jc w:val="center"/>
              <w:rPr>
                <w:rFonts w:eastAsia="標楷體"/>
              </w:rPr>
            </w:pPr>
            <w:r w:rsidRPr="003F2B3F">
              <w:rPr>
                <w:rFonts w:eastAsia="標楷體"/>
              </w:rPr>
              <w:t>18.56</w:t>
            </w:r>
          </w:p>
        </w:tc>
        <w:tc>
          <w:tcPr>
            <w:tcW w:w="2160" w:type="dxa"/>
          </w:tcPr>
          <w:p w:rsidR="0076359B" w:rsidRPr="003F2B3F" w:rsidRDefault="0076359B" w:rsidP="0076359B">
            <w:pPr>
              <w:jc w:val="center"/>
              <w:rPr>
                <w:rFonts w:eastAsia="標楷體"/>
              </w:rPr>
            </w:pPr>
            <w:r w:rsidRPr="003F2B3F">
              <w:rPr>
                <w:rFonts w:eastAsia="標楷體"/>
              </w:rPr>
              <w:t>9.29</w:t>
            </w:r>
          </w:p>
        </w:tc>
        <w:tc>
          <w:tcPr>
            <w:tcW w:w="2160" w:type="dxa"/>
          </w:tcPr>
          <w:p w:rsidR="0076359B" w:rsidRPr="003F2B3F" w:rsidRDefault="0076359B" w:rsidP="0076359B">
            <w:pPr>
              <w:jc w:val="center"/>
              <w:rPr>
                <w:rFonts w:eastAsia="標楷體"/>
              </w:rPr>
            </w:pPr>
            <w:r w:rsidRPr="003F2B3F">
              <w:rPr>
                <w:rFonts w:eastAsia="標楷體"/>
              </w:rPr>
              <w:t>8.75</w:t>
            </w:r>
          </w:p>
        </w:tc>
      </w:tr>
    </w:tbl>
    <w:p w:rsidR="00122A0B" w:rsidRPr="003F2B3F" w:rsidRDefault="00122A0B" w:rsidP="00122A0B">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3F2B3F">
        <w:rPr>
          <w:rFonts w:ascii="Times New Roman" w:eastAsia="標楷體" w:hAnsi="Times New Roman" w:cs="Times New Roman"/>
        </w:rPr>
        <w:t>註</w:t>
      </w:r>
      <w:proofErr w:type="gramEnd"/>
      <w:r w:rsidRPr="003F2B3F">
        <w:rPr>
          <w:rFonts w:ascii="Times New Roman" w:eastAsia="標楷體" w:hAnsi="Times New Roman" w:cs="Times New Roman"/>
        </w:rPr>
        <w:t>1</w:t>
      </w:r>
      <w:r w:rsidRPr="003F2B3F">
        <w:rPr>
          <w:rFonts w:ascii="Times New Roman" w:eastAsia="標楷體" w:hAnsi="Times New Roman" w:cs="Times New Roman"/>
        </w:rPr>
        <w:t>：</w:t>
      </w:r>
      <w:proofErr w:type="gramStart"/>
      <w:r w:rsidRPr="003F2B3F">
        <w:rPr>
          <w:rFonts w:ascii="Times New Roman" w:eastAsia="標楷體" w:hAnsi="Times New Roman" w:cs="Times New Roman"/>
        </w:rPr>
        <w:t>102</w:t>
      </w:r>
      <w:proofErr w:type="gramEnd"/>
      <w:r w:rsidRPr="003F2B3F">
        <w:rPr>
          <w:rFonts w:ascii="Times New Roman" w:eastAsia="標楷體" w:hAnsi="Times New Roman" w:cs="Times New Roman"/>
        </w:rPr>
        <w:t>年度資料經會計師查核簽證，係</w:t>
      </w:r>
      <w:proofErr w:type="gramStart"/>
      <w:r w:rsidRPr="003F2B3F">
        <w:rPr>
          <w:rFonts w:ascii="Times New Roman" w:eastAsia="標楷體" w:hAnsi="Times New Roman" w:cs="Times New Roman"/>
        </w:rPr>
        <w:t>採</w:t>
      </w:r>
      <w:proofErr w:type="gramEnd"/>
      <w:r w:rsidRPr="003F2B3F">
        <w:rPr>
          <w:rFonts w:ascii="Times New Roman" w:eastAsia="標楷體" w:hAnsi="Times New Roman" w:cs="Times New Roman"/>
        </w:rPr>
        <w:t>我國財務會計準則</w:t>
      </w:r>
      <w:r w:rsidR="0027794A" w:rsidRPr="003F2B3F">
        <w:rPr>
          <w:rFonts w:ascii="Times New Roman" w:eastAsia="標楷體" w:hAnsi="Times New Roman" w:cs="Times New Roman"/>
        </w:rPr>
        <w:t>。</w:t>
      </w:r>
    </w:p>
    <w:p w:rsidR="00122A0B" w:rsidRPr="003F2B3F" w:rsidRDefault="00122A0B" w:rsidP="00122A0B">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3F2B3F">
        <w:rPr>
          <w:rFonts w:ascii="Times New Roman" w:eastAsia="標楷體" w:hAnsi="Times New Roman" w:cs="Times New Roman"/>
        </w:rPr>
        <w:t>註</w:t>
      </w:r>
      <w:proofErr w:type="gramEnd"/>
      <w:r w:rsidRPr="003F2B3F">
        <w:rPr>
          <w:rFonts w:ascii="Times New Roman" w:eastAsia="標楷體" w:hAnsi="Times New Roman" w:cs="Times New Roman"/>
        </w:rPr>
        <w:t>2</w:t>
      </w:r>
      <w:r w:rsidRPr="003F2B3F">
        <w:rPr>
          <w:rFonts w:ascii="Times New Roman" w:eastAsia="標楷體" w:hAnsi="Times New Roman" w:cs="Times New Roman"/>
        </w:rPr>
        <w:t>：</w:t>
      </w:r>
      <w:r w:rsidRPr="003F2B3F">
        <w:rPr>
          <w:rFonts w:ascii="Times New Roman" w:eastAsia="標楷體" w:hAnsi="Times New Roman" w:cs="Times New Roman"/>
        </w:rPr>
        <w:t>103~</w:t>
      </w:r>
      <w:proofErr w:type="gramStart"/>
      <w:r w:rsidRPr="003F2B3F">
        <w:rPr>
          <w:rFonts w:ascii="Times New Roman" w:eastAsia="標楷體" w:hAnsi="Times New Roman" w:cs="Times New Roman"/>
        </w:rPr>
        <w:t>104</w:t>
      </w:r>
      <w:proofErr w:type="gramEnd"/>
      <w:r w:rsidRPr="003F2B3F">
        <w:rPr>
          <w:rFonts w:ascii="Times New Roman" w:eastAsia="標楷體" w:hAnsi="Times New Roman" w:cs="Times New Roman"/>
        </w:rPr>
        <w:t>年度資料經會計師查核簽證，係</w:t>
      </w:r>
      <w:proofErr w:type="gramStart"/>
      <w:r w:rsidRPr="003F2B3F">
        <w:rPr>
          <w:rFonts w:ascii="Times New Roman" w:eastAsia="標楷體" w:hAnsi="Times New Roman" w:cs="Times New Roman"/>
        </w:rPr>
        <w:t>採</w:t>
      </w:r>
      <w:proofErr w:type="gramEnd"/>
      <w:r w:rsidRPr="003F2B3F">
        <w:rPr>
          <w:rFonts w:ascii="Times New Roman" w:eastAsia="標楷體" w:hAnsi="Times New Roman" w:cs="Times New Roman"/>
        </w:rPr>
        <w:t>國際財務報告準則</w:t>
      </w:r>
      <w:r w:rsidR="0027794A" w:rsidRPr="003F2B3F">
        <w:rPr>
          <w:rFonts w:ascii="Times New Roman" w:eastAsia="標楷體" w:hAnsi="Times New Roman" w:cs="Times New Roman"/>
        </w:rPr>
        <w:t>。</w:t>
      </w:r>
    </w:p>
    <w:p w:rsidR="00A47ADA" w:rsidRPr="003F2B3F" w:rsidRDefault="00A47ADA">
      <w:pPr>
        <w:jc w:val="both"/>
        <w:rPr>
          <w:rFonts w:eastAsia="標楷體"/>
        </w:rPr>
      </w:pPr>
    </w:p>
    <w:p w:rsidR="00A47ADA" w:rsidRPr="00D87F5A" w:rsidRDefault="00A47ADA">
      <w:pPr>
        <w:jc w:val="both"/>
      </w:pPr>
    </w:p>
    <w:p w:rsidR="00161123" w:rsidRPr="00D87F5A" w:rsidRDefault="00161123">
      <w:pPr>
        <w:jc w:val="both"/>
      </w:pPr>
      <w:r w:rsidRPr="00D87F5A">
        <w:t xml:space="preserve">                                               </w:t>
      </w:r>
    </w:p>
    <w:p w:rsidR="00161123" w:rsidRPr="00D87F5A" w:rsidRDefault="00161123">
      <w:pPr>
        <w:rPr>
          <w:color w:val="FE8531"/>
          <w:sz w:val="20"/>
          <w:szCs w:val="20"/>
        </w:rPr>
      </w:pPr>
      <w:r w:rsidRPr="00D87F5A">
        <w:rPr>
          <w:color w:val="FF6600"/>
          <w:sz w:val="20"/>
          <w:szCs w:val="20"/>
        </w:rPr>
        <w:t>投資人若欲查詢該公司更詳細之資料請連結至</w:t>
      </w:r>
      <w:hyperlink r:id="rId13" w:history="1">
        <w:r w:rsidRPr="00D87F5A">
          <w:rPr>
            <w:rStyle w:val="a6"/>
            <w:b/>
            <w:color w:val="3366FF"/>
            <w:sz w:val="20"/>
            <w:szCs w:val="20"/>
          </w:rPr>
          <w:t>公開資訊觀測站</w:t>
        </w:r>
      </w:hyperlink>
      <w:r w:rsidRPr="00D87F5A">
        <w:rPr>
          <w:color w:val="FF6600"/>
          <w:sz w:val="20"/>
          <w:szCs w:val="20"/>
        </w:rPr>
        <w:t>!!</w:t>
      </w:r>
    </w:p>
    <w:sectPr w:rsidR="00161123" w:rsidRPr="00D87F5A">
      <w:footerReference w:type="even" r:id="rId14"/>
      <w:footerReference w:type="default" r:id="rId15"/>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D7" w:rsidRDefault="00E332D7">
      <w:r>
        <w:separator/>
      </w:r>
    </w:p>
  </w:endnote>
  <w:endnote w:type="continuationSeparator" w:id="0">
    <w:p w:rsidR="00E332D7" w:rsidRDefault="00E3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70" w:rsidRDefault="0054567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5670" w:rsidRDefault="005456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70" w:rsidRDefault="0054567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32527">
      <w:rPr>
        <w:rStyle w:val="ad"/>
        <w:noProof/>
      </w:rPr>
      <w:t>2</w:t>
    </w:r>
    <w:r>
      <w:rPr>
        <w:rStyle w:val="ad"/>
      </w:rPr>
      <w:fldChar w:fldCharType="end"/>
    </w:r>
  </w:p>
  <w:p w:rsidR="00545670" w:rsidRDefault="005456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D7" w:rsidRDefault="00E332D7">
      <w:r>
        <w:separator/>
      </w:r>
    </w:p>
  </w:footnote>
  <w:footnote w:type="continuationSeparator" w:id="0">
    <w:p w:rsidR="00E332D7" w:rsidRDefault="00E33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4pt;height:12.55pt" o:bullet="t">
        <v:imagedata r:id="rId1" o:title="icon_page_title"/>
      </v:shape>
    </w:pict>
  </w:numPicBullet>
  <w:abstractNum w:abstractNumId="0">
    <w:nsid w:val="0DDD038E"/>
    <w:multiLevelType w:val="hybridMultilevel"/>
    <w:tmpl w:val="3678EF70"/>
    <w:lvl w:ilvl="0" w:tplc="D850F5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2F618C7"/>
    <w:multiLevelType w:val="hybridMultilevel"/>
    <w:tmpl w:val="C07CD5D2"/>
    <w:lvl w:ilvl="0" w:tplc="468CE6D0">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38EB52D3"/>
    <w:multiLevelType w:val="hybridMultilevel"/>
    <w:tmpl w:val="F342E8F2"/>
    <w:lvl w:ilvl="0" w:tplc="38B276E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9F554EF"/>
    <w:multiLevelType w:val="hybridMultilevel"/>
    <w:tmpl w:val="27AE9668"/>
    <w:lvl w:ilvl="0" w:tplc="C390F840">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A"/>
    <w:rsid w:val="000250D8"/>
    <w:rsid w:val="00032BCA"/>
    <w:rsid w:val="00071BDD"/>
    <w:rsid w:val="00073D81"/>
    <w:rsid w:val="00082270"/>
    <w:rsid w:val="00096634"/>
    <w:rsid w:val="000A3EC5"/>
    <w:rsid w:val="000A6536"/>
    <w:rsid w:val="001120B0"/>
    <w:rsid w:val="00113C35"/>
    <w:rsid w:val="00122A0B"/>
    <w:rsid w:val="0013375A"/>
    <w:rsid w:val="00161123"/>
    <w:rsid w:val="0019438A"/>
    <w:rsid w:val="00194ACF"/>
    <w:rsid w:val="001A1634"/>
    <w:rsid w:val="001C1FBE"/>
    <w:rsid w:val="001D1892"/>
    <w:rsid w:val="001E2E2D"/>
    <w:rsid w:val="0020043D"/>
    <w:rsid w:val="0021378B"/>
    <w:rsid w:val="002528CB"/>
    <w:rsid w:val="00265DD4"/>
    <w:rsid w:val="00266610"/>
    <w:rsid w:val="00270410"/>
    <w:rsid w:val="00270437"/>
    <w:rsid w:val="0027794A"/>
    <w:rsid w:val="00296DA4"/>
    <w:rsid w:val="002D1117"/>
    <w:rsid w:val="002E0E42"/>
    <w:rsid w:val="002F73CE"/>
    <w:rsid w:val="00330B33"/>
    <w:rsid w:val="00340BEB"/>
    <w:rsid w:val="00346FDC"/>
    <w:rsid w:val="00367A3D"/>
    <w:rsid w:val="003801D1"/>
    <w:rsid w:val="00385C47"/>
    <w:rsid w:val="00386F23"/>
    <w:rsid w:val="003C19E0"/>
    <w:rsid w:val="003D3E5D"/>
    <w:rsid w:val="003D4CC6"/>
    <w:rsid w:val="003F2B3F"/>
    <w:rsid w:val="00403323"/>
    <w:rsid w:val="00450F2B"/>
    <w:rsid w:val="004904AC"/>
    <w:rsid w:val="004A477C"/>
    <w:rsid w:val="004B27E0"/>
    <w:rsid w:val="004B41AE"/>
    <w:rsid w:val="004B60F2"/>
    <w:rsid w:val="004C7511"/>
    <w:rsid w:val="004D1A9D"/>
    <w:rsid w:val="005071DA"/>
    <w:rsid w:val="00545670"/>
    <w:rsid w:val="0055190A"/>
    <w:rsid w:val="00553CD3"/>
    <w:rsid w:val="005665B4"/>
    <w:rsid w:val="0057013B"/>
    <w:rsid w:val="005C55EE"/>
    <w:rsid w:val="005C7E92"/>
    <w:rsid w:val="005F6854"/>
    <w:rsid w:val="00611233"/>
    <w:rsid w:val="00627F38"/>
    <w:rsid w:val="00656CE4"/>
    <w:rsid w:val="006A4C29"/>
    <w:rsid w:val="006B0756"/>
    <w:rsid w:val="006C0782"/>
    <w:rsid w:val="006F03D1"/>
    <w:rsid w:val="007207CC"/>
    <w:rsid w:val="007241A4"/>
    <w:rsid w:val="00724899"/>
    <w:rsid w:val="00737750"/>
    <w:rsid w:val="007609BE"/>
    <w:rsid w:val="0076359B"/>
    <w:rsid w:val="0076469D"/>
    <w:rsid w:val="007A518E"/>
    <w:rsid w:val="007E51A2"/>
    <w:rsid w:val="007F0E35"/>
    <w:rsid w:val="007F3FB6"/>
    <w:rsid w:val="00802465"/>
    <w:rsid w:val="00815264"/>
    <w:rsid w:val="00821F6E"/>
    <w:rsid w:val="00832527"/>
    <w:rsid w:val="0088114E"/>
    <w:rsid w:val="008E5DC4"/>
    <w:rsid w:val="008F1D94"/>
    <w:rsid w:val="00904300"/>
    <w:rsid w:val="00910C26"/>
    <w:rsid w:val="00912D09"/>
    <w:rsid w:val="0092518A"/>
    <w:rsid w:val="009732C8"/>
    <w:rsid w:val="0097783D"/>
    <w:rsid w:val="0098430B"/>
    <w:rsid w:val="009E32C0"/>
    <w:rsid w:val="00A0309F"/>
    <w:rsid w:val="00A07F04"/>
    <w:rsid w:val="00A277D2"/>
    <w:rsid w:val="00A37899"/>
    <w:rsid w:val="00A47ADA"/>
    <w:rsid w:val="00A60F30"/>
    <w:rsid w:val="00A964BD"/>
    <w:rsid w:val="00AB2AB5"/>
    <w:rsid w:val="00AE1680"/>
    <w:rsid w:val="00B02E6B"/>
    <w:rsid w:val="00B057B7"/>
    <w:rsid w:val="00B258CE"/>
    <w:rsid w:val="00B40A0A"/>
    <w:rsid w:val="00B41C3A"/>
    <w:rsid w:val="00B433F9"/>
    <w:rsid w:val="00B57C46"/>
    <w:rsid w:val="00BA60D4"/>
    <w:rsid w:val="00BA7879"/>
    <w:rsid w:val="00BF2B97"/>
    <w:rsid w:val="00C24635"/>
    <w:rsid w:val="00C24BD5"/>
    <w:rsid w:val="00C26408"/>
    <w:rsid w:val="00C427C6"/>
    <w:rsid w:val="00C62170"/>
    <w:rsid w:val="00C71A3C"/>
    <w:rsid w:val="00C8594D"/>
    <w:rsid w:val="00C96E93"/>
    <w:rsid w:val="00D00024"/>
    <w:rsid w:val="00D22FA1"/>
    <w:rsid w:val="00D33680"/>
    <w:rsid w:val="00D364AD"/>
    <w:rsid w:val="00D67987"/>
    <w:rsid w:val="00D87F5A"/>
    <w:rsid w:val="00D92F31"/>
    <w:rsid w:val="00DA3592"/>
    <w:rsid w:val="00DA75FC"/>
    <w:rsid w:val="00E060F0"/>
    <w:rsid w:val="00E20000"/>
    <w:rsid w:val="00E21D87"/>
    <w:rsid w:val="00E22908"/>
    <w:rsid w:val="00E332D7"/>
    <w:rsid w:val="00E42C70"/>
    <w:rsid w:val="00ED7520"/>
    <w:rsid w:val="00EE06EC"/>
    <w:rsid w:val="00EE2568"/>
    <w:rsid w:val="00EE4C00"/>
    <w:rsid w:val="00EF10AF"/>
    <w:rsid w:val="00EF18DE"/>
    <w:rsid w:val="00F23D95"/>
    <w:rsid w:val="00F40CF0"/>
    <w:rsid w:val="00F565CC"/>
    <w:rsid w:val="00F97EB6"/>
    <w:rsid w:val="00FA1B5B"/>
    <w:rsid w:val="00FA63CD"/>
    <w:rsid w:val="00FA785D"/>
    <w:rsid w:val="00FB3285"/>
    <w:rsid w:val="00FD1CF9"/>
    <w:rsid w:val="00FF75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Acrony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paragraph" w:styleId="5">
    <w:name w:val="heading 5"/>
    <w:basedOn w:val="a"/>
    <w:next w:val="a"/>
    <w:link w:val="50"/>
    <w:uiPriority w:val="9"/>
    <w:semiHidden/>
    <w:unhideWhenUsed/>
    <w:qFormat/>
    <w:rsid w:val="005665B4"/>
    <w:pPr>
      <w:keepNext/>
      <w:spacing w:line="720" w:lineRule="auto"/>
      <w:ind w:leftChars="200" w:left="200"/>
      <w:outlineLvl w:val="4"/>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character" w:styleId="HTML1">
    <w:name w:val="HTML Acronym"/>
    <w:semiHidden/>
    <w:rsid w:val="00C26408"/>
  </w:style>
  <w:style w:type="character" w:customStyle="1" w:styleId="st1">
    <w:name w:val="st1"/>
    <w:rsid w:val="00E20000"/>
  </w:style>
  <w:style w:type="paragraph" w:customStyle="1" w:styleId="af1">
    <w:name w:val="(!)內文"/>
    <w:basedOn w:val="5"/>
    <w:rsid w:val="005665B4"/>
    <w:pPr>
      <w:keepNext w:val="0"/>
      <w:tabs>
        <w:tab w:val="left" w:pos="1800"/>
      </w:tabs>
      <w:autoSpaceDE w:val="0"/>
      <w:autoSpaceDN w:val="0"/>
      <w:spacing w:line="240" w:lineRule="auto"/>
      <w:ind w:leftChars="700" w:left="1680"/>
      <w:jc w:val="both"/>
      <w:outlineLvl w:val="9"/>
    </w:pPr>
    <w:rPr>
      <w:rFonts w:ascii="Times New Roman" w:hAnsi="Times New Roman"/>
      <w:b w:val="0"/>
      <w:kern w:val="0"/>
      <w:sz w:val="24"/>
      <w:szCs w:val="24"/>
    </w:rPr>
  </w:style>
  <w:style w:type="character" w:customStyle="1" w:styleId="50">
    <w:name w:val="標題 5 字元"/>
    <w:link w:val="5"/>
    <w:uiPriority w:val="9"/>
    <w:semiHidden/>
    <w:rsid w:val="005665B4"/>
    <w:rPr>
      <w:rFonts w:ascii="Calibri Light" w:eastAsia="新細明體" w:hAnsi="Calibri Light" w:cs="Times New Roman"/>
      <w:b/>
      <w:bCs/>
      <w:kern w:val="2"/>
      <w:sz w:val="36"/>
      <w:szCs w:val="36"/>
    </w:rPr>
  </w:style>
  <w:style w:type="paragraph" w:styleId="af2">
    <w:name w:val="Block Text"/>
    <w:basedOn w:val="a"/>
    <w:rsid w:val="00BA60D4"/>
    <w:pPr>
      <w:spacing w:beforeLines="50" w:line="400" w:lineRule="exact"/>
      <w:ind w:leftChars="180" w:left="504" w:rightChars="-6" w:right="-17" w:firstLineChars="192" w:firstLine="538"/>
      <w:jc w:val="both"/>
    </w:pPr>
    <w:rPr>
      <w:rFonts w:eastAsia="標楷體"/>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Acrony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paragraph" w:styleId="5">
    <w:name w:val="heading 5"/>
    <w:basedOn w:val="a"/>
    <w:next w:val="a"/>
    <w:link w:val="50"/>
    <w:uiPriority w:val="9"/>
    <w:semiHidden/>
    <w:unhideWhenUsed/>
    <w:qFormat/>
    <w:rsid w:val="005665B4"/>
    <w:pPr>
      <w:keepNext/>
      <w:spacing w:line="720" w:lineRule="auto"/>
      <w:ind w:leftChars="200" w:left="200"/>
      <w:outlineLvl w:val="4"/>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character" w:styleId="HTML1">
    <w:name w:val="HTML Acronym"/>
    <w:semiHidden/>
    <w:rsid w:val="00C26408"/>
  </w:style>
  <w:style w:type="character" w:customStyle="1" w:styleId="st1">
    <w:name w:val="st1"/>
    <w:rsid w:val="00E20000"/>
  </w:style>
  <w:style w:type="paragraph" w:customStyle="1" w:styleId="af1">
    <w:name w:val="(!)內文"/>
    <w:basedOn w:val="5"/>
    <w:rsid w:val="005665B4"/>
    <w:pPr>
      <w:keepNext w:val="0"/>
      <w:tabs>
        <w:tab w:val="left" w:pos="1800"/>
      </w:tabs>
      <w:autoSpaceDE w:val="0"/>
      <w:autoSpaceDN w:val="0"/>
      <w:spacing w:line="240" w:lineRule="auto"/>
      <w:ind w:leftChars="700" w:left="1680"/>
      <w:jc w:val="both"/>
      <w:outlineLvl w:val="9"/>
    </w:pPr>
    <w:rPr>
      <w:rFonts w:ascii="Times New Roman" w:hAnsi="Times New Roman"/>
      <w:b w:val="0"/>
      <w:kern w:val="0"/>
      <w:sz w:val="24"/>
      <w:szCs w:val="24"/>
    </w:rPr>
  </w:style>
  <w:style w:type="character" w:customStyle="1" w:styleId="50">
    <w:name w:val="標題 5 字元"/>
    <w:link w:val="5"/>
    <w:uiPriority w:val="9"/>
    <w:semiHidden/>
    <w:rsid w:val="005665B4"/>
    <w:rPr>
      <w:rFonts w:ascii="Calibri Light" w:eastAsia="新細明體" w:hAnsi="Calibri Light" w:cs="Times New Roman"/>
      <w:b/>
      <w:bCs/>
      <w:kern w:val="2"/>
      <w:sz w:val="36"/>
      <w:szCs w:val="36"/>
    </w:rPr>
  </w:style>
  <w:style w:type="paragraph" w:styleId="af2">
    <w:name w:val="Block Text"/>
    <w:basedOn w:val="a"/>
    <w:rsid w:val="00BA60D4"/>
    <w:pPr>
      <w:spacing w:beforeLines="50" w:line="400" w:lineRule="exact"/>
      <w:ind w:leftChars="180" w:left="504" w:rightChars="-6" w:right="-17" w:firstLineChars="192" w:firstLine="538"/>
      <w:jc w:val="both"/>
    </w:pPr>
    <w:rPr>
      <w:rFonts w:eastAsia="標楷體"/>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mops.tse.com.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31532;&#19968;&#38913;"/><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2933-31C0-4D1D-AEFE-DFF34332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1087</Words>
  <Characters>6200</Characters>
  <Application>Microsoft Office Word</Application>
  <DocSecurity>0</DocSecurity>
  <Lines>51</Lines>
  <Paragraphs>14</Paragraphs>
  <ScaleCrop>false</ScaleCrop>
  <Company>abc</Company>
  <LinksUpToDate>false</LinksUpToDate>
  <CharactersWithSpaces>7273</CharactersWithSpaces>
  <SharedDoc>false</SharedDoc>
  <HLinks>
    <vt:vector size="48" baseType="variant">
      <vt:variant>
        <vt:i4>6946868</vt:i4>
      </vt:variant>
      <vt:variant>
        <vt:i4>21</vt:i4>
      </vt:variant>
      <vt:variant>
        <vt:i4>0</vt:i4>
      </vt:variant>
      <vt:variant>
        <vt:i4>5</vt:i4>
      </vt:variant>
      <vt:variant>
        <vt:lpwstr>http://newmops.tse.com.tw/</vt:lpwstr>
      </vt:variant>
      <vt:variant>
        <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彭建豪</cp:lastModifiedBy>
  <cp:revision>3</cp:revision>
  <cp:lastPrinted>2016-11-08T02:33:00Z</cp:lastPrinted>
  <dcterms:created xsi:type="dcterms:W3CDTF">2016-11-08T02:35:00Z</dcterms:created>
  <dcterms:modified xsi:type="dcterms:W3CDTF">2016-11-08T05:44:00Z</dcterms:modified>
</cp:coreProperties>
</file>